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1767" w14:textId="77777777" w:rsidR="007941BA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Arizona State University</w:t>
      </w:r>
    </w:p>
    <w:p w14:paraId="05F81768" w14:textId="77777777" w:rsidR="007941BA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Institutional Animal Care and Use Committee</w:t>
      </w:r>
    </w:p>
    <w:p w14:paraId="05F81769" w14:textId="77777777" w:rsidR="007941BA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  <w:r w:rsidRPr="005979B0">
        <w:rPr>
          <w:rFonts w:ascii="Calibri" w:hAnsi="Calibri"/>
          <w:b/>
        </w:rPr>
        <w:t>STANDARD INSTITUTIONAL GUIDELINE</w:t>
      </w:r>
    </w:p>
    <w:p w14:paraId="05F8176A" w14:textId="77777777" w:rsidR="007941BA" w:rsidRPr="005979B0" w:rsidRDefault="007941BA" w:rsidP="007941BA">
      <w:pPr>
        <w:spacing w:after="0" w:line="240" w:lineRule="auto"/>
        <w:jc w:val="center"/>
        <w:rPr>
          <w:rFonts w:ascii="Calibri" w:hAnsi="Calibri"/>
          <w:b/>
        </w:rPr>
      </w:pPr>
    </w:p>
    <w:p w14:paraId="05F8176B" w14:textId="70A2EF5B" w:rsidR="007941BA" w:rsidRPr="00134EEA" w:rsidRDefault="0027213A" w:rsidP="007941B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u w:val="single"/>
        </w:rPr>
      </w:pPr>
      <w:r>
        <w:rPr>
          <w:rFonts w:ascii="Calibri" w:eastAsia="Times New Roman" w:hAnsi="Calibri" w:cs="Times New Roman"/>
          <w:b/>
          <w:caps/>
          <w:u w:val="single"/>
        </w:rPr>
        <w:t>Terminal Blood Collection</w:t>
      </w:r>
    </w:p>
    <w:p w14:paraId="05F8176C" w14:textId="77777777" w:rsidR="007941BA" w:rsidRPr="007941BA" w:rsidRDefault="007941BA" w:rsidP="007941B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0"/>
          <w:szCs w:val="20"/>
        </w:rPr>
      </w:pPr>
    </w:p>
    <w:p w14:paraId="05F8176D" w14:textId="23F08699" w:rsidR="00DE43BD" w:rsidRDefault="00EB6F39">
      <w:r>
        <w:t>Terminal blood collection techniques</w:t>
      </w:r>
      <w:r w:rsidR="00106899">
        <w:t xml:space="preserve"> in mice and rats</w:t>
      </w:r>
      <w:r>
        <w:t xml:space="preserve"> are u</w:t>
      </w:r>
      <w:r w:rsidR="00251AA7">
        <w:t>sed when</w:t>
      </w:r>
      <w:r w:rsidR="00DD0C10">
        <w:t xml:space="preserve"> a single,</w:t>
      </w:r>
      <w:r w:rsidR="00251AA7">
        <w:t xml:space="preserve"> large amount of blood is necessary </w:t>
      </w:r>
      <w:r w:rsidR="004159A5">
        <w:t>for experimentation</w:t>
      </w:r>
      <w:r w:rsidR="00360756" w:rsidRPr="00360756">
        <w:t>.</w:t>
      </w:r>
      <w:r w:rsidR="004159A5">
        <w:t xml:space="preserve"> The techniques can only be performed while the animal is under deep anesthesia or </w:t>
      </w:r>
      <w:r w:rsidR="00E97B3D">
        <w:t>following humane euthanasia.</w:t>
      </w:r>
      <w:r w:rsidR="00C72DFC">
        <w:t xml:space="preserve"> </w:t>
      </w:r>
      <w:r w:rsidR="000D5F07">
        <w:t xml:space="preserve">The recommended technique is cardiac puncture, </w:t>
      </w:r>
      <w:r w:rsidR="001D53E7">
        <w:t>and to use this approach IACUC protocols need only to reference this SIG rather than describe the details of the procedure. Alternative terminal bleed approached include</w:t>
      </w:r>
      <w:r w:rsidR="000D5F07">
        <w:t xml:space="preserve"> the </w:t>
      </w:r>
      <w:r w:rsidR="00214DBD">
        <w:t>abdominal</w:t>
      </w:r>
      <w:r w:rsidR="00411209">
        <w:t xml:space="preserve"> aorta</w:t>
      </w:r>
      <w:r w:rsidR="00214DBD">
        <w:t xml:space="preserve"> or vena cava</w:t>
      </w:r>
      <w:r w:rsidR="001D53E7">
        <w:t>. Alternative sites such as these</w:t>
      </w:r>
      <w:r w:rsidR="00411209">
        <w:t xml:space="preserve"> may be used if </w:t>
      </w:r>
      <w:r w:rsidR="001D53E7">
        <w:t xml:space="preserve">the procedure is thoroughly described </w:t>
      </w:r>
      <w:r w:rsidR="00411209">
        <w:t>in the approved IACUC protocol.</w:t>
      </w:r>
    </w:p>
    <w:p w14:paraId="05F8176E" w14:textId="75EB69A1" w:rsidR="001809E6" w:rsidRPr="00A33207" w:rsidRDefault="006E40F6" w:rsidP="001809E6">
      <w:pPr>
        <w:rPr>
          <w:b/>
          <w:u w:val="single"/>
        </w:rPr>
      </w:pPr>
      <w:r>
        <w:rPr>
          <w:b/>
          <w:u w:val="single"/>
        </w:rPr>
        <w:t>Cardiac Puncture:</w:t>
      </w:r>
    </w:p>
    <w:p w14:paraId="05F8178A" w14:textId="3543B618" w:rsidR="00360756" w:rsidRDefault="009113C6" w:rsidP="009113C6">
      <w:pPr>
        <w:pStyle w:val="ListParagraph"/>
        <w:numPr>
          <w:ilvl w:val="0"/>
          <w:numId w:val="2"/>
        </w:numPr>
      </w:pPr>
      <w:r>
        <w:t xml:space="preserve">Have </w:t>
      </w:r>
      <w:r w:rsidR="00887EF7">
        <w:t>all supplies ready before</w:t>
      </w:r>
      <w:r w:rsidR="00302281">
        <w:t xml:space="preserve"> starting</w:t>
      </w:r>
      <w:r w:rsidR="005A0705">
        <w:t xml:space="preserve">, including </w:t>
      </w:r>
      <w:r w:rsidR="00582F80">
        <w:t xml:space="preserve">placing needles </w:t>
      </w:r>
      <w:proofErr w:type="spellStart"/>
      <w:r w:rsidR="00582F80">
        <w:t>on</w:t>
      </w:r>
      <w:proofErr w:type="spellEnd"/>
      <w:r w:rsidR="00582F80">
        <w:t xml:space="preserve"> syringes and prepping collection tubes as necessary.</w:t>
      </w:r>
    </w:p>
    <w:p w14:paraId="77E36E66" w14:textId="72B759EF" w:rsidR="00582F80" w:rsidRDefault="00582F80" w:rsidP="00582F80">
      <w:pPr>
        <w:pStyle w:val="ListParagraph"/>
        <w:numPr>
          <w:ilvl w:val="1"/>
          <w:numId w:val="2"/>
        </w:numPr>
      </w:pPr>
      <w:r>
        <w:t>If plasma is needed, then add</w:t>
      </w:r>
      <w:r w:rsidR="001B28B8">
        <w:t xml:space="preserve"> heparin</w:t>
      </w:r>
      <w:r w:rsidR="002E4FE1">
        <w:t xml:space="preserve"> (10</w:t>
      </w:r>
      <w:r w:rsidR="00D15287">
        <w:t>-30 USP units</w:t>
      </w:r>
      <w:r w:rsidR="00B34064">
        <w:t>/mL of blood)</w:t>
      </w:r>
      <w:r w:rsidR="001B28B8">
        <w:t xml:space="preserve"> to </w:t>
      </w:r>
      <w:r w:rsidR="001D53E7">
        <w:t xml:space="preserve">the </w:t>
      </w:r>
      <w:r w:rsidR="002E4FE1">
        <w:t>blood collection tubes</w:t>
      </w:r>
      <w:r w:rsidR="00B34064">
        <w:t xml:space="preserve">. </w:t>
      </w:r>
      <w:r w:rsidR="001D53E7">
        <w:t>Also, p</w:t>
      </w:r>
      <w:r w:rsidR="00B34064">
        <w:t xml:space="preserve">repare the syringes by </w:t>
      </w:r>
      <w:r w:rsidR="001D53E7">
        <w:t>draw</w:t>
      </w:r>
      <w:r w:rsidR="00B34064">
        <w:t xml:space="preserve">ing up </w:t>
      </w:r>
      <w:r w:rsidR="001D53E7">
        <w:t xml:space="preserve">some </w:t>
      </w:r>
      <w:r w:rsidR="00B34064">
        <w:t xml:space="preserve">heparin </w:t>
      </w:r>
      <w:r w:rsidR="001D53E7">
        <w:t xml:space="preserve">from a </w:t>
      </w:r>
      <w:r w:rsidR="00F319BE">
        <w:t>prepped collection</w:t>
      </w:r>
      <w:r w:rsidR="001D53E7">
        <w:t xml:space="preserve"> tube into </w:t>
      </w:r>
      <w:r w:rsidR="00B34064">
        <w:t xml:space="preserve">the syringe </w:t>
      </w:r>
      <w:r w:rsidR="00864EA5">
        <w:t xml:space="preserve">to coat the inside of the syringe, then </w:t>
      </w:r>
      <w:r w:rsidR="001D53E7">
        <w:t xml:space="preserve">inject the heparin </w:t>
      </w:r>
      <w:r w:rsidR="00864EA5">
        <w:t>back into the blood collection tube.</w:t>
      </w:r>
    </w:p>
    <w:p w14:paraId="583E5BEE" w14:textId="667712EA" w:rsidR="00106899" w:rsidRDefault="00106899" w:rsidP="00582F80">
      <w:pPr>
        <w:pStyle w:val="ListParagraph"/>
        <w:numPr>
          <w:ilvl w:val="1"/>
          <w:numId w:val="2"/>
        </w:numPr>
      </w:pPr>
      <w:r>
        <w:t>Use a 20-23</w:t>
      </w:r>
      <w:r w:rsidR="001D53E7">
        <w:t xml:space="preserve"> </w:t>
      </w:r>
      <w:r>
        <w:t>g needle</w:t>
      </w:r>
      <w:r w:rsidR="00E64F8E">
        <w:t xml:space="preserve"> </w:t>
      </w:r>
      <w:r w:rsidR="0022006C">
        <w:t xml:space="preserve">for both mice and </w:t>
      </w:r>
      <w:proofErr w:type="gramStart"/>
      <w:r w:rsidR="0022006C">
        <w:t>rats</w:t>
      </w:r>
      <w:r w:rsidR="001D53E7">
        <w:t>, but</w:t>
      </w:r>
      <w:proofErr w:type="gramEnd"/>
      <w:r w:rsidR="001D53E7">
        <w:t xml:space="preserve"> attach it to </w:t>
      </w:r>
      <w:r w:rsidR="0022006C">
        <w:t>a 1</w:t>
      </w:r>
      <w:r w:rsidR="001D53E7">
        <w:t xml:space="preserve"> </w:t>
      </w:r>
      <w:r w:rsidR="0022006C">
        <w:t>ml syringe for mice and a 3</w:t>
      </w:r>
      <w:r w:rsidR="001D53E7">
        <w:t xml:space="preserve"> </w:t>
      </w:r>
      <w:r w:rsidR="0022006C">
        <w:t>ml syringe for rats.</w:t>
      </w:r>
    </w:p>
    <w:p w14:paraId="3FBB5399" w14:textId="2E9C4013" w:rsidR="00B23DF3" w:rsidRDefault="000338A1" w:rsidP="00D5214D">
      <w:pPr>
        <w:pStyle w:val="ListParagraph"/>
        <w:numPr>
          <w:ilvl w:val="0"/>
          <w:numId w:val="2"/>
        </w:numPr>
      </w:pPr>
      <w:r>
        <w:t xml:space="preserve">The animal is either humanely euthanized using </w:t>
      </w:r>
      <w:r w:rsidR="00552ED7">
        <w:t>CO</w:t>
      </w:r>
      <w:r w:rsidR="00552ED7" w:rsidRPr="00195738">
        <w:rPr>
          <w:vertAlign w:val="subscript"/>
        </w:rPr>
        <w:t>2</w:t>
      </w:r>
      <w:r w:rsidR="00552ED7">
        <w:t xml:space="preserve"> or </w:t>
      </w:r>
      <w:r>
        <w:t>deeply anesthetized as described in the IACUC proto</w:t>
      </w:r>
      <w:r w:rsidR="00552ED7">
        <w:t>col.</w:t>
      </w:r>
    </w:p>
    <w:p w14:paraId="0241BD1F" w14:textId="0E1E0774" w:rsidR="00552ED7" w:rsidRDefault="00552ED7" w:rsidP="00552ED7">
      <w:pPr>
        <w:pStyle w:val="ListParagraph"/>
        <w:numPr>
          <w:ilvl w:val="1"/>
          <w:numId w:val="2"/>
        </w:numPr>
      </w:pPr>
      <w:r>
        <w:t>If using CO</w:t>
      </w:r>
      <w:r w:rsidRPr="00195738">
        <w:rPr>
          <w:vertAlign w:val="subscript"/>
        </w:rPr>
        <w:t>2</w:t>
      </w:r>
      <w:r>
        <w:t xml:space="preserve">, remove the animal </w:t>
      </w:r>
      <w:r w:rsidR="00171D8F">
        <w:t xml:space="preserve">from the induction chamber </w:t>
      </w:r>
      <w:r>
        <w:t>as soon as it stops breathing</w:t>
      </w:r>
      <w:r w:rsidR="00171D8F">
        <w:t>.</w:t>
      </w:r>
      <w:r w:rsidR="0011187F">
        <w:t xml:space="preserve"> The </w:t>
      </w:r>
      <w:r w:rsidR="000A35FD">
        <w:t xml:space="preserve">animal will stop breathing before the heart fully </w:t>
      </w:r>
      <w:r w:rsidR="001D53E7">
        <w:t>s</w:t>
      </w:r>
      <w:r w:rsidR="000A35FD">
        <w:t>tops beating</w:t>
      </w:r>
      <w:r w:rsidR="00171D8F">
        <w:t xml:space="preserve">, and this will </w:t>
      </w:r>
      <w:r w:rsidR="00F319BE">
        <w:t>help</w:t>
      </w:r>
      <w:r w:rsidR="00171D8F">
        <w:t xml:space="preserve"> to ensure the best quality and maximum volume of the sample.</w:t>
      </w:r>
    </w:p>
    <w:p w14:paraId="463A42D3" w14:textId="7D5DBD1C" w:rsidR="00075C8A" w:rsidRDefault="00075C8A" w:rsidP="00552ED7">
      <w:pPr>
        <w:pStyle w:val="ListParagraph"/>
        <w:numPr>
          <w:ilvl w:val="1"/>
          <w:numId w:val="2"/>
        </w:numPr>
      </w:pPr>
      <w:r>
        <w:t xml:space="preserve">If using </w:t>
      </w:r>
      <w:r w:rsidR="000C2E4D">
        <w:t xml:space="preserve">anesthesia, then anesthetic agent </w:t>
      </w:r>
      <w:r w:rsidR="00171D8F">
        <w:t xml:space="preserve">and dose to be used </w:t>
      </w:r>
      <w:r w:rsidR="000C2E4D">
        <w:t>needs to ensure the</w:t>
      </w:r>
      <w:r w:rsidR="00BD3880">
        <w:t xml:space="preserve"> animal maintains </w:t>
      </w:r>
      <w:r w:rsidR="001404D4">
        <w:t>appropriate</w:t>
      </w:r>
      <w:r w:rsidR="00BD3880">
        <w:t xml:space="preserve"> anesthetic depth (i.e.</w:t>
      </w:r>
      <w:r w:rsidR="00171D8F">
        <w:t>,</w:t>
      </w:r>
      <w:r w:rsidR="00BD3880">
        <w:t xml:space="preserve"> </w:t>
      </w:r>
      <w:r w:rsidR="001404D4">
        <w:t>unresponsive to firm toe pinch)</w:t>
      </w:r>
      <w:r w:rsidR="00BD3880">
        <w:t xml:space="preserve"> during the procedure.</w:t>
      </w:r>
      <w:r w:rsidR="001404D4">
        <w:t xml:space="preserve"> Inhalant anesthesia may be used if </w:t>
      </w:r>
      <w:r w:rsidR="00171D8F">
        <w:t xml:space="preserve">the animal is </w:t>
      </w:r>
      <w:r w:rsidR="001404D4">
        <w:t>maintained u</w:t>
      </w:r>
      <w:r w:rsidR="00E83618">
        <w:t>nder anesthesia using a nose cone during the entire procedure.</w:t>
      </w:r>
    </w:p>
    <w:p w14:paraId="41A43657" w14:textId="2366A5F0" w:rsidR="00E83618" w:rsidRDefault="00003516" w:rsidP="00E83618">
      <w:pPr>
        <w:pStyle w:val="ListParagraph"/>
        <w:numPr>
          <w:ilvl w:val="0"/>
          <w:numId w:val="2"/>
        </w:numPr>
      </w:pPr>
      <w:r>
        <w:t>Place animal in dorsal</w:t>
      </w:r>
      <w:r w:rsidR="00B60534">
        <w:t xml:space="preserve"> recumbency</w:t>
      </w:r>
      <w:r w:rsidR="002B74FB">
        <w:t>.</w:t>
      </w:r>
    </w:p>
    <w:p w14:paraId="667AF7C5" w14:textId="43C2F5EB" w:rsidR="002B74FB" w:rsidRPr="00F1706D" w:rsidRDefault="002B74FB" w:rsidP="00E83618">
      <w:pPr>
        <w:pStyle w:val="ListParagraph"/>
        <w:numPr>
          <w:ilvl w:val="0"/>
          <w:numId w:val="2"/>
        </w:numPr>
      </w:pPr>
      <w:r>
        <w:t>Insert</w:t>
      </w:r>
      <w:r w:rsidR="00106899">
        <w:t xml:space="preserve"> </w:t>
      </w:r>
      <w:r w:rsidR="0022006C">
        <w:t>needle</w:t>
      </w:r>
      <w:r w:rsidR="00B03FBC">
        <w:t xml:space="preserve"> slightly below and to the left of the xyphoid process</w:t>
      </w:r>
      <w:r w:rsidR="00544A8B">
        <w:t xml:space="preserve"> at a 30-40</w:t>
      </w:r>
      <w:r w:rsidR="001C41DB">
        <w:rPr>
          <w:rFonts w:cstheme="minorHAnsi"/>
        </w:rPr>
        <w:t>° angle to</w:t>
      </w:r>
      <w:r w:rsidR="00E65EF2">
        <w:rPr>
          <w:rFonts w:cstheme="minorHAnsi"/>
        </w:rPr>
        <w:t xml:space="preserve"> the body, aimed towards the animal’s head</w:t>
      </w:r>
      <w:r w:rsidR="00F1706D">
        <w:rPr>
          <w:rFonts w:cstheme="minorHAnsi"/>
        </w:rPr>
        <w:t>.</w:t>
      </w:r>
    </w:p>
    <w:p w14:paraId="421E4591" w14:textId="17557922" w:rsidR="00F1706D" w:rsidRDefault="00A077F2" w:rsidP="00E83618">
      <w:pPr>
        <w:pStyle w:val="ListParagraph"/>
        <w:numPr>
          <w:ilvl w:val="0"/>
          <w:numId w:val="2"/>
        </w:numPr>
      </w:pPr>
      <w:r>
        <w:t xml:space="preserve">Retract the plunger slightly to create a vacuum inside the </w:t>
      </w:r>
      <w:r w:rsidR="00CE7742">
        <w:t>syringe and either advance or retract the needle</w:t>
      </w:r>
      <w:r w:rsidR="000331DF">
        <w:t xml:space="preserve"> (depending on the depth of the n</w:t>
      </w:r>
      <w:r w:rsidR="00651316">
        <w:t>eedle)</w:t>
      </w:r>
      <w:r w:rsidR="00CE7742">
        <w:t xml:space="preserve"> until</w:t>
      </w:r>
      <w:r w:rsidR="000331DF">
        <w:t xml:space="preserve"> blood appears in the needle hub.</w:t>
      </w:r>
    </w:p>
    <w:p w14:paraId="488F72AE" w14:textId="39A75CAA" w:rsidR="00651316" w:rsidRDefault="00EF2488" w:rsidP="00E83618">
      <w:pPr>
        <w:pStyle w:val="ListParagraph"/>
        <w:numPr>
          <w:ilvl w:val="0"/>
          <w:numId w:val="2"/>
        </w:numPr>
      </w:pPr>
      <w:r>
        <w:t xml:space="preserve">While keeping the needle stable, gently </w:t>
      </w:r>
      <w:r w:rsidR="006142B2">
        <w:t xml:space="preserve">retract the plunger until </w:t>
      </w:r>
      <w:proofErr w:type="gramStart"/>
      <w:r w:rsidR="006142B2">
        <w:t>a sufficient amount of</w:t>
      </w:r>
      <w:proofErr w:type="gramEnd"/>
      <w:r w:rsidR="006142B2">
        <w:t xml:space="preserve"> blood has been collected.</w:t>
      </w:r>
    </w:p>
    <w:p w14:paraId="1D6F0C7B" w14:textId="5B3FB677" w:rsidR="006142B2" w:rsidRDefault="00F114F2" w:rsidP="006142B2">
      <w:pPr>
        <w:pStyle w:val="ListParagraph"/>
        <w:numPr>
          <w:ilvl w:val="1"/>
          <w:numId w:val="2"/>
        </w:numPr>
      </w:pPr>
      <w:r>
        <w:t xml:space="preserve">If the blood stops flowing before the desired amount is obtained, try gently </w:t>
      </w:r>
      <w:r w:rsidR="00171D8F">
        <w:t xml:space="preserve">rotating </w:t>
      </w:r>
      <w:r>
        <w:t xml:space="preserve">the </w:t>
      </w:r>
      <w:r w:rsidR="00171D8F">
        <w:t xml:space="preserve">syringe as the </w:t>
      </w:r>
      <w:r>
        <w:t xml:space="preserve">needle </w:t>
      </w:r>
      <w:r w:rsidR="00BB33E0">
        <w:t xml:space="preserve">may </w:t>
      </w:r>
      <w:r w:rsidR="00171D8F">
        <w:t>b</w:t>
      </w:r>
      <w:r w:rsidR="00BB33E0">
        <w:t xml:space="preserve">e </w:t>
      </w:r>
      <w:r w:rsidR="00171D8F">
        <w:t xml:space="preserve">abutted </w:t>
      </w:r>
      <w:r w:rsidR="00BB33E0">
        <w:t>against the ventricle wall.</w:t>
      </w:r>
    </w:p>
    <w:p w14:paraId="1194BFED" w14:textId="5F7BEFA1" w:rsidR="00BB33E0" w:rsidRDefault="00BB33E0" w:rsidP="006142B2">
      <w:pPr>
        <w:pStyle w:val="ListParagraph"/>
        <w:numPr>
          <w:ilvl w:val="1"/>
          <w:numId w:val="2"/>
        </w:numPr>
      </w:pPr>
      <w:r>
        <w:t>If the needle moves during the blood collection, it may need to be re-inserted into the heart to continue blood collection.</w:t>
      </w:r>
    </w:p>
    <w:p w14:paraId="25205F73" w14:textId="3FD12843" w:rsidR="002C0D51" w:rsidRDefault="002A5896" w:rsidP="00195738">
      <w:pPr>
        <w:pStyle w:val="ListParagraph"/>
        <w:numPr>
          <w:ilvl w:val="0"/>
          <w:numId w:val="2"/>
        </w:numPr>
      </w:pPr>
      <w:r>
        <w:t xml:space="preserve">If the animal </w:t>
      </w:r>
      <w:r w:rsidR="00171D8F">
        <w:t>w</w:t>
      </w:r>
      <w:r>
        <w:t xml:space="preserve">as anesthetized for the procedure, then </w:t>
      </w:r>
      <w:r w:rsidR="00171D8F">
        <w:t xml:space="preserve">after the completion of the procedure it needs to be </w:t>
      </w:r>
      <w:r w:rsidR="00B57A2A">
        <w:t>euthaniz</w:t>
      </w:r>
      <w:r w:rsidR="00172C1C">
        <w:t>e</w:t>
      </w:r>
      <w:r w:rsidR="00171D8F">
        <w:t>d</w:t>
      </w:r>
      <w:r w:rsidR="00B57A2A">
        <w:t xml:space="preserve"> by </w:t>
      </w:r>
      <w:r w:rsidR="00171D8F">
        <w:t xml:space="preserve">bilateral </w:t>
      </w:r>
      <w:r w:rsidR="00B57A2A">
        <w:t xml:space="preserve">thoracotomy or cervical dislocation. </w:t>
      </w:r>
      <w:r w:rsidR="00172C1C">
        <w:t>Ensure the animal is still deeply under anesthesia before performing this step.</w:t>
      </w:r>
    </w:p>
    <w:p w14:paraId="1904D0B6" w14:textId="63EC3C05" w:rsidR="009C4140" w:rsidRDefault="00780CB2" w:rsidP="009C4140">
      <w:pPr>
        <w:ind w:left="360"/>
      </w:pPr>
      <w:r w:rsidRPr="00780CB2">
        <w:lastRenderedPageBreak/>
        <w:t>Parasuraman, S., R. Raveendran, and R. Kesavan. "Blood sample collection in small laboratory animals." </w:t>
      </w:r>
      <w:r w:rsidRPr="00780CB2">
        <w:rPr>
          <w:i/>
          <w:iCs/>
        </w:rPr>
        <w:t>Journal of pharmacology &amp; pharmacotherapeutics</w:t>
      </w:r>
      <w:r w:rsidRPr="00780CB2">
        <w:t> 1.2 (2010): 87.</w:t>
      </w:r>
    </w:p>
    <w:p w14:paraId="2D1F44D5" w14:textId="0E86B525" w:rsidR="007D5E2B" w:rsidRDefault="007D5E2B" w:rsidP="009C4140">
      <w:pPr>
        <w:ind w:left="360"/>
      </w:pPr>
      <w:r w:rsidRPr="007D5E2B">
        <w:t>Joslin, Janis Ott. "Blood collection techniques in exotic small mammals." </w:t>
      </w:r>
      <w:r w:rsidRPr="007D5E2B">
        <w:rPr>
          <w:i/>
          <w:iCs/>
        </w:rPr>
        <w:t>Journal of Exotic Pet Medicine</w:t>
      </w:r>
      <w:r w:rsidRPr="007D5E2B">
        <w:t> 18.2 (2009): 117-139.</w:t>
      </w:r>
    </w:p>
    <w:sectPr w:rsidR="007D5E2B" w:rsidSect="00944CFB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A1F1" w14:textId="77777777" w:rsidR="00397981" w:rsidRDefault="00397981" w:rsidP="00371E3D">
      <w:pPr>
        <w:spacing w:after="0" w:line="240" w:lineRule="auto"/>
      </w:pPr>
      <w:r>
        <w:separator/>
      </w:r>
    </w:p>
  </w:endnote>
  <w:endnote w:type="continuationSeparator" w:id="0">
    <w:p w14:paraId="7B67DA25" w14:textId="77777777" w:rsidR="00397981" w:rsidRDefault="00397981" w:rsidP="0037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0193" w14:textId="3A4E22D1" w:rsidR="00E83E05" w:rsidRDefault="00E83E05">
    <w:pPr>
      <w:pStyle w:val="Footer"/>
    </w:pPr>
    <w:r>
      <w:t>Approved 3.27.2025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E3655" w14:textId="77777777" w:rsidR="00397981" w:rsidRDefault="00397981" w:rsidP="00371E3D">
      <w:pPr>
        <w:spacing w:after="0" w:line="240" w:lineRule="auto"/>
      </w:pPr>
      <w:r>
        <w:separator/>
      </w:r>
    </w:p>
  </w:footnote>
  <w:footnote w:type="continuationSeparator" w:id="0">
    <w:p w14:paraId="7E2A8697" w14:textId="77777777" w:rsidR="00397981" w:rsidRDefault="00397981" w:rsidP="00371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FE7"/>
    <w:multiLevelType w:val="hybridMultilevel"/>
    <w:tmpl w:val="F40E8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56A2A"/>
    <w:multiLevelType w:val="hybridMultilevel"/>
    <w:tmpl w:val="477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3BE4"/>
    <w:multiLevelType w:val="hybridMultilevel"/>
    <w:tmpl w:val="477858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0445">
    <w:abstractNumId w:val="0"/>
  </w:num>
  <w:num w:numId="2" w16cid:durableId="914971918">
    <w:abstractNumId w:val="1"/>
  </w:num>
  <w:num w:numId="3" w16cid:durableId="152065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56"/>
    <w:rsid w:val="00003516"/>
    <w:rsid w:val="00027399"/>
    <w:rsid w:val="000331DF"/>
    <w:rsid w:val="000338A1"/>
    <w:rsid w:val="000647E8"/>
    <w:rsid w:val="00075C8A"/>
    <w:rsid w:val="000A35FD"/>
    <w:rsid w:val="000A727D"/>
    <w:rsid w:val="000C2E4D"/>
    <w:rsid w:val="000D5F07"/>
    <w:rsid w:val="00106899"/>
    <w:rsid w:val="0011187F"/>
    <w:rsid w:val="0012540E"/>
    <w:rsid w:val="00134EEA"/>
    <w:rsid w:val="001379DE"/>
    <w:rsid w:val="001404D4"/>
    <w:rsid w:val="00171D8F"/>
    <w:rsid w:val="00172C1C"/>
    <w:rsid w:val="001809E6"/>
    <w:rsid w:val="00195738"/>
    <w:rsid w:val="001B28B8"/>
    <w:rsid w:val="001B4FB9"/>
    <w:rsid w:val="001C41DB"/>
    <w:rsid w:val="001D53E7"/>
    <w:rsid w:val="00214DBD"/>
    <w:rsid w:val="0022006C"/>
    <w:rsid w:val="002418F0"/>
    <w:rsid w:val="00251AA7"/>
    <w:rsid w:val="00254E31"/>
    <w:rsid w:val="0027213A"/>
    <w:rsid w:val="002A5896"/>
    <w:rsid w:val="002B74FB"/>
    <w:rsid w:val="002C0D51"/>
    <w:rsid w:val="002E4FE1"/>
    <w:rsid w:val="00302281"/>
    <w:rsid w:val="0030596F"/>
    <w:rsid w:val="00306816"/>
    <w:rsid w:val="00315352"/>
    <w:rsid w:val="00360756"/>
    <w:rsid w:val="00371E3D"/>
    <w:rsid w:val="00397981"/>
    <w:rsid w:val="003A1C3D"/>
    <w:rsid w:val="003D5DE4"/>
    <w:rsid w:val="00411209"/>
    <w:rsid w:val="004159A5"/>
    <w:rsid w:val="0046763A"/>
    <w:rsid w:val="004820D8"/>
    <w:rsid w:val="0049214C"/>
    <w:rsid w:val="004A0DE9"/>
    <w:rsid w:val="004A591C"/>
    <w:rsid w:val="00524F5B"/>
    <w:rsid w:val="00544A8B"/>
    <w:rsid w:val="00552ED7"/>
    <w:rsid w:val="00582F80"/>
    <w:rsid w:val="005A0705"/>
    <w:rsid w:val="005E579D"/>
    <w:rsid w:val="005E78E5"/>
    <w:rsid w:val="006142B2"/>
    <w:rsid w:val="00630002"/>
    <w:rsid w:val="00634C86"/>
    <w:rsid w:val="00651316"/>
    <w:rsid w:val="00676637"/>
    <w:rsid w:val="006E05E8"/>
    <w:rsid w:val="006E40F6"/>
    <w:rsid w:val="006E421B"/>
    <w:rsid w:val="006F4188"/>
    <w:rsid w:val="0070157A"/>
    <w:rsid w:val="00732A13"/>
    <w:rsid w:val="007611E6"/>
    <w:rsid w:val="00780CB2"/>
    <w:rsid w:val="007927E6"/>
    <w:rsid w:val="007941BA"/>
    <w:rsid w:val="007D5E2B"/>
    <w:rsid w:val="00846FFD"/>
    <w:rsid w:val="00864EA5"/>
    <w:rsid w:val="008663CF"/>
    <w:rsid w:val="0087576E"/>
    <w:rsid w:val="00887EF7"/>
    <w:rsid w:val="008D1067"/>
    <w:rsid w:val="008F73DA"/>
    <w:rsid w:val="009113C6"/>
    <w:rsid w:val="00924B07"/>
    <w:rsid w:val="00937A79"/>
    <w:rsid w:val="00944CFB"/>
    <w:rsid w:val="00956BA0"/>
    <w:rsid w:val="00962E63"/>
    <w:rsid w:val="009B42FF"/>
    <w:rsid w:val="009C133D"/>
    <w:rsid w:val="009C4140"/>
    <w:rsid w:val="00A077F2"/>
    <w:rsid w:val="00A25933"/>
    <w:rsid w:val="00A33207"/>
    <w:rsid w:val="00AE7AC0"/>
    <w:rsid w:val="00B00F89"/>
    <w:rsid w:val="00B03FBC"/>
    <w:rsid w:val="00B23139"/>
    <w:rsid w:val="00B23DF3"/>
    <w:rsid w:val="00B34064"/>
    <w:rsid w:val="00B3795A"/>
    <w:rsid w:val="00B57A2A"/>
    <w:rsid w:val="00B60534"/>
    <w:rsid w:val="00BB33E0"/>
    <w:rsid w:val="00BD3880"/>
    <w:rsid w:val="00BF496E"/>
    <w:rsid w:val="00C05FB1"/>
    <w:rsid w:val="00C72DFC"/>
    <w:rsid w:val="00C92E2C"/>
    <w:rsid w:val="00C94466"/>
    <w:rsid w:val="00CB21F6"/>
    <w:rsid w:val="00CD2620"/>
    <w:rsid w:val="00CE7742"/>
    <w:rsid w:val="00D15287"/>
    <w:rsid w:val="00D35502"/>
    <w:rsid w:val="00D5214D"/>
    <w:rsid w:val="00DD0C10"/>
    <w:rsid w:val="00DE1940"/>
    <w:rsid w:val="00DE43BD"/>
    <w:rsid w:val="00E03F7A"/>
    <w:rsid w:val="00E64F8E"/>
    <w:rsid w:val="00E65EF2"/>
    <w:rsid w:val="00E67A64"/>
    <w:rsid w:val="00E815D9"/>
    <w:rsid w:val="00E83618"/>
    <w:rsid w:val="00E83E05"/>
    <w:rsid w:val="00E97B3D"/>
    <w:rsid w:val="00EB294D"/>
    <w:rsid w:val="00EB6F39"/>
    <w:rsid w:val="00ED1565"/>
    <w:rsid w:val="00EF2488"/>
    <w:rsid w:val="00F114F2"/>
    <w:rsid w:val="00F1706D"/>
    <w:rsid w:val="00F319BE"/>
    <w:rsid w:val="00FA3F73"/>
    <w:rsid w:val="00FD59C9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1767"/>
  <w15:docId w15:val="{CB742A09-AD65-4277-B985-BA0C8E2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6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0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3D"/>
  </w:style>
  <w:style w:type="paragraph" w:styleId="Footer">
    <w:name w:val="footer"/>
    <w:basedOn w:val="Normal"/>
    <w:link w:val="FooterChar"/>
    <w:uiPriority w:val="99"/>
    <w:unhideWhenUsed/>
    <w:rsid w:val="0037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3D"/>
  </w:style>
  <w:style w:type="character" w:styleId="FollowedHyperlink">
    <w:name w:val="FollowedHyperlink"/>
    <w:basedOn w:val="DefaultParagraphFont"/>
    <w:uiPriority w:val="99"/>
    <w:semiHidden/>
    <w:unhideWhenUsed/>
    <w:rsid w:val="00BF496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7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A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eviewer xmlns="3a23a44e-b9b7-43c1-8aa3-e24c12bbb7be">
      <UserInfo>
        <DisplayName/>
        <AccountId xsi:nil="true"/>
        <AccountType/>
      </UserInfo>
    </Reviewer>
    <Destruction_x0020_Date xmlns="3a23a44e-b9b7-43c1-8aa3-e24c12bbb7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9EDC58C15E54690A816BE6FEA52D2" ma:contentTypeVersion="17" ma:contentTypeDescription="Create a new document." ma:contentTypeScope="" ma:versionID="4f724ae66a4b3022c94f0884818b7e45">
  <xsd:schema xmlns:xsd="http://www.w3.org/2001/XMLSchema" xmlns:xs="http://www.w3.org/2001/XMLSchema" xmlns:p="http://schemas.microsoft.com/office/2006/metadata/properties" xmlns:ns2="3a23a44e-b9b7-43c1-8aa3-e24c12bbb7be" xmlns:ns3="97777203-5cdb-4e9f-8388-daa97a0d17e4" targetNamespace="http://schemas.microsoft.com/office/2006/metadata/properties" ma:root="true" ma:fieldsID="d39e495351c798f76dea4ac5c2900d96" ns2:_="" ns3:_="">
    <xsd:import namespace="3a23a44e-b9b7-43c1-8aa3-e24c12bbb7be"/>
    <xsd:import namespace="97777203-5cdb-4e9f-8388-daa97a0d17e4"/>
    <xsd:element name="properties">
      <xsd:complexType>
        <xsd:sequence>
          <xsd:element name="documentManagement">
            <xsd:complexType>
              <xsd:all>
                <xsd:element ref="ns2:Reviewer" minOccurs="0"/>
                <xsd:element ref="ns2:Destruction_x0020_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3a44e-b9b7-43c1-8aa3-e24c12bbb7be" elementFormDefault="qualified">
    <xsd:import namespace="http://schemas.microsoft.com/office/2006/documentManagement/types"/>
    <xsd:import namespace="http://schemas.microsoft.com/office/infopath/2007/PartnerControls"/>
    <xsd:element name="Reviewer" ma:index="4" nillable="true" ma:displayName="Reviewer" ma:list="UserInfo" ma:SharePointGroup="0" ma:internalName="Review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truction_x0020_Date" ma:index="5" nillable="true" ma:displayName="Destruction Date" ma:description="For removal after 3 year mark" ma:format="DateOnly" ma:internalName="Destruction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77203-5cdb-4e9f-8388-daa97a0d1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8D75DB1-7D20-477E-A783-1C259352A2D3}">
  <ds:schemaRefs>
    <ds:schemaRef ds:uri="http://schemas.microsoft.com/office/2006/metadata/properties"/>
    <ds:schemaRef ds:uri="3a23a44e-b9b7-43c1-8aa3-e24c12bbb7be"/>
  </ds:schemaRefs>
</ds:datastoreItem>
</file>

<file path=customXml/itemProps2.xml><?xml version="1.0" encoding="utf-8"?>
<ds:datastoreItem xmlns:ds="http://schemas.openxmlformats.org/officeDocument/2006/customXml" ds:itemID="{FCB48A5F-50AD-47BD-8A21-2484EFAFE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3a44e-b9b7-43c1-8aa3-e24c12bbb7be"/>
    <ds:schemaRef ds:uri="97777203-5cdb-4e9f-8388-daa97a0d1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43DE2-21E7-4B75-A68C-A2983C1EA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2730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- OKED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Zoe Browning</dc:creator>
  <cp:lastModifiedBy>Nicole Shepherd</cp:lastModifiedBy>
  <cp:revision>2</cp:revision>
  <dcterms:created xsi:type="dcterms:W3CDTF">2025-03-28T14:51:00Z</dcterms:created>
  <dcterms:modified xsi:type="dcterms:W3CDTF">2025-03-28T14:51:00Z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0x010100D139EDC58C15E54690A816BE6FEA52D2</vt:lpwstr>
  </property>
  <property fmtid="{D5CDD505-2E9C-101B-9397-08002B2CF9AE}" pid="3" name="Reviewer">
    <vt:lpwstr/>
  </property>
</Properties>
</file>