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C9DE" w14:textId="77777777" w:rsidR="003A1418" w:rsidRPr="003A1418" w:rsidRDefault="003A1418" w:rsidP="003A141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2"/>
        </w:rPr>
      </w:pPr>
      <w:bookmarkStart w:id="0" w:name="_Hlk97216811"/>
      <w:bookmarkEnd w:id="0"/>
      <w:r w:rsidRPr="003A1418">
        <w:rPr>
          <w:rFonts w:ascii="Calibri" w:eastAsia="Times New Roman" w:hAnsi="Calibri" w:cs="Times New Roman"/>
          <w:b/>
          <w:sz w:val="22"/>
        </w:rPr>
        <w:t>Arizona State University</w:t>
      </w:r>
    </w:p>
    <w:p w14:paraId="09F11781" w14:textId="77777777" w:rsidR="003A1418" w:rsidRPr="003A1418" w:rsidRDefault="003A1418" w:rsidP="003A141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2"/>
        </w:rPr>
      </w:pPr>
      <w:r w:rsidRPr="003A1418">
        <w:rPr>
          <w:rFonts w:ascii="Calibri" w:eastAsia="Times New Roman" w:hAnsi="Calibri" w:cs="Times New Roman"/>
          <w:b/>
          <w:sz w:val="22"/>
        </w:rPr>
        <w:t>Institutional Animal Care and Use Committee</w:t>
      </w:r>
    </w:p>
    <w:p w14:paraId="2A9D8484" w14:textId="77777777" w:rsidR="003A1418" w:rsidRPr="003A1418" w:rsidRDefault="003A1418" w:rsidP="003A141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2"/>
        </w:rPr>
      </w:pPr>
      <w:r w:rsidRPr="003A1418">
        <w:rPr>
          <w:rFonts w:ascii="Calibri" w:eastAsia="Times New Roman" w:hAnsi="Calibri" w:cs="Times New Roman"/>
          <w:b/>
          <w:sz w:val="22"/>
        </w:rPr>
        <w:t>STANDARD INSTITUTIONAL GUIDELINE</w:t>
      </w:r>
    </w:p>
    <w:p w14:paraId="77F17499" w14:textId="77777777" w:rsidR="003A1418" w:rsidRPr="003A1418" w:rsidRDefault="003A1418" w:rsidP="003A141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2"/>
        </w:rPr>
      </w:pPr>
    </w:p>
    <w:p w14:paraId="57E50A72" w14:textId="2A0D4EF6" w:rsidR="003A1418" w:rsidRPr="00042ED1" w:rsidRDefault="003A1418" w:rsidP="003A1418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042ED1">
        <w:rPr>
          <w:b/>
          <w:bCs/>
          <w:sz w:val="23"/>
          <w:szCs w:val="23"/>
          <w:u w:val="single"/>
        </w:rPr>
        <w:t xml:space="preserve">INTRANASAL AND ORAL </w:t>
      </w:r>
      <w:r w:rsidR="005F365D" w:rsidRPr="00042ED1">
        <w:rPr>
          <w:b/>
          <w:bCs/>
          <w:sz w:val="23"/>
          <w:szCs w:val="23"/>
          <w:u w:val="single"/>
        </w:rPr>
        <w:t xml:space="preserve">ADMINISTRATION </w:t>
      </w:r>
      <w:r w:rsidR="000C3604" w:rsidRPr="00042ED1">
        <w:rPr>
          <w:b/>
          <w:bCs/>
          <w:sz w:val="23"/>
          <w:szCs w:val="23"/>
          <w:u w:val="single"/>
        </w:rPr>
        <w:t>IN</w:t>
      </w:r>
      <w:r w:rsidR="005F365D" w:rsidRPr="00042ED1">
        <w:rPr>
          <w:b/>
          <w:bCs/>
          <w:sz w:val="23"/>
          <w:szCs w:val="23"/>
          <w:u w:val="single"/>
        </w:rPr>
        <w:t xml:space="preserve"> </w:t>
      </w:r>
      <w:r w:rsidR="00BB1D7A" w:rsidRPr="00042ED1">
        <w:rPr>
          <w:b/>
          <w:bCs/>
          <w:sz w:val="23"/>
          <w:szCs w:val="23"/>
          <w:u w:val="single"/>
        </w:rPr>
        <w:t>RODENTS</w:t>
      </w:r>
    </w:p>
    <w:p w14:paraId="456F06F5" w14:textId="77777777" w:rsidR="003A1418" w:rsidRPr="003A1418" w:rsidRDefault="003A1418" w:rsidP="003A1418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0"/>
          <w:szCs w:val="20"/>
        </w:rPr>
      </w:pPr>
    </w:p>
    <w:p w14:paraId="5B937ABE" w14:textId="77777777" w:rsidR="008D6A24" w:rsidRDefault="008D6A24" w:rsidP="00042E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Purpose</w:t>
      </w:r>
    </w:p>
    <w:p w14:paraId="43D8C30F" w14:textId="2704232D" w:rsidR="00C40915" w:rsidRDefault="001434DF" w:rsidP="008D6A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Intranasal and oral administration is a</w:t>
      </w:r>
      <w:r w:rsidR="004D1CFD">
        <w:rPr>
          <w:sz w:val="23"/>
          <w:szCs w:val="23"/>
        </w:rPr>
        <w:t xml:space="preserve"> less invasive and more clinically relevant means of delivering various treatments, antigens, and vaccines.</w:t>
      </w:r>
    </w:p>
    <w:p w14:paraId="6DBFEFD6" w14:textId="77777777" w:rsidR="008D6A24" w:rsidRDefault="008D6A24" w:rsidP="008D6A24">
      <w:pPr>
        <w:pStyle w:val="Default"/>
        <w:rPr>
          <w:sz w:val="23"/>
          <w:szCs w:val="23"/>
        </w:rPr>
      </w:pPr>
    </w:p>
    <w:p w14:paraId="7760D954" w14:textId="389C79AE" w:rsidR="008D6A24" w:rsidRDefault="008D6A24" w:rsidP="008D6A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Delivery</w:t>
      </w:r>
      <w:r w:rsidR="005F365D">
        <w:rPr>
          <w:b/>
          <w:bCs/>
          <w:sz w:val="23"/>
          <w:szCs w:val="23"/>
        </w:rPr>
        <w:t xml:space="preserve"> of</w:t>
      </w:r>
      <w:r>
        <w:rPr>
          <w:b/>
          <w:bCs/>
          <w:sz w:val="23"/>
          <w:szCs w:val="23"/>
        </w:rPr>
        <w:t xml:space="preserve"> </w:t>
      </w:r>
      <w:r w:rsidR="00795E05">
        <w:rPr>
          <w:b/>
          <w:bCs/>
          <w:sz w:val="23"/>
          <w:szCs w:val="23"/>
        </w:rPr>
        <w:t xml:space="preserve">Treatment, </w:t>
      </w:r>
      <w:r w:rsidR="005F365D">
        <w:rPr>
          <w:b/>
          <w:bCs/>
          <w:sz w:val="23"/>
          <w:szCs w:val="23"/>
        </w:rPr>
        <w:t>Antigen</w:t>
      </w:r>
      <w:r w:rsidR="00D236AE">
        <w:rPr>
          <w:b/>
          <w:bCs/>
          <w:sz w:val="23"/>
          <w:szCs w:val="23"/>
        </w:rPr>
        <w:t>,</w:t>
      </w:r>
      <w:r w:rsidR="005F365D">
        <w:rPr>
          <w:b/>
          <w:bCs/>
          <w:sz w:val="23"/>
          <w:szCs w:val="23"/>
        </w:rPr>
        <w:t xml:space="preserve"> or Vaccine</w:t>
      </w:r>
    </w:p>
    <w:p w14:paraId="597E5DA1" w14:textId="707A7CA2" w:rsidR="008D6A24" w:rsidRDefault="008D6A24" w:rsidP="008D6A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 procedures should be done using personal protective equipment and a biosafety cabinet if required for the room housing the animals</w:t>
      </w:r>
      <w:r w:rsidR="008B45B6">
        <w:rPr>
          <w:sz w:val="23"/>
          <w:szCs w:val="23"/>
        </w:rPr>
        <w:t xml:space="preserve"> </w:t>
      </w:r>
      <w:r w:rsidR="00C055CA">
        <w:rPr>
          <w:sz w:val="23"/>
          <w:szCs w:val="23"/>
        </w:rPr>
        <w:t>or the BSL level of the agent</w:t>
      </w:r>
      <w:r>
        <w:rPr>
          <w:sz w:val="23"/>
          <w:szCs w:val="23"/>
        </w:rPr>
        <w:t xml:space="preserve">. </w:t>
      </w:r>
    </w:p>
    <w:p w14:paraId="5FDADBE7" w14:textId="77777777" w:rsidR="008D6A24" w:rsidRDefault="008D6A24" w:rsidP="008D6A24">
      <w:pPr>
        <w:pStyle w:val="Default"/>
        <w:rPr>
          <w:sz w:val="23"/>
          <w:szCs w:val="23"/>
        </w:rPr>
      </w:pPr>
    </w:p>
    <w:p w14:paraId="162A25F3" w14:textId="7D1DA7D8" w:rsidR="009C7DBF" w:rsidRDefault="008D6A24" w:rsidP="009C7DB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Intranasal</w:t>
      </w:r>
      <w:r w:rsidR="000A3BB2">
        <w:rPr>
          <w:b/>
          <w:bCs/>
          <w:i/>
          <w:iCs/>
          <w:sz w:val="23"/>
          <w:szCs w:val="23"/>
        </w:rPr>
        <w:t xml:space="preserve"> – a.k.a. delivery of material into the nostrils</w:t>
      </w:r>
    </w:p>
    <w:p w14:paraId="47846F6B" w14:textId="69FE9B0A" w:rsidR="001457A4" w:rsidRPr="00042ED1" w:rsidRDefault="00BB1D7A" w:rsidP="009C7DB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Mouse</w:t>
      </w:r>
      <w:r w:rsidR="008D6A24">
        <w:rPr>
          <w:b/>
          <w:bCs/>
          <w:i/>
          <w:iCs/>
          <w:sz w:val="23"/>
          <w:szCs w:val="23"/>
        </w:rPr>
        <w:t xml:space="preserve"> </w:t>
      </w:r>
    </w:p>
    <w:p w14:paraId="034AD624" w14:textId="446DC1F1" w:rsidR="001457A4" w:rsidRDefault="00C40915" w:rsidP="001457A4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457A4">
        <w:rPr>
          <w:sz w:val="23"/>
          <w:szCs w:val="23"/>
        </w:rPr>
        <w:t>The</w:t>
      </w:r>
      <w:r w:rsidR="008D6A24" w:rsidRPr="001457A4">
        <w:rPr>
          <w:sz w:val="23"/>
          <w:szCs w:val="23"/>
        </w:rPr>
        <w:t xml:space="preserve"> mouse is restrained by </w:t>
      </w:r>
      <w:r w:rsidRPr="001457A4">
        <w:rPr>
          <w:sz w:val="23"/>
          <w:szCs w:val="23"/>
        </w:rPr>
        <w:t>holding</w:t>
      </w:r>
      <w:r w:rsidR="00F260EA" w:rsidRPr="001457A4">
        <w:rPr>
          <w:sz w:val="23"/>
          <w:szCs w:val="23"/>
        </w:rPr>
        <w:t xml:space="preserve"> it</w:t>
      </w:r>
      <w:r w:rsidRPr="001457A4">
        <w:rPr>
          <w:sz w:val="23"/>
          <w:szCs w:val="23"/>
        </w:rPr>
        <w:t xml:space="preserve"> </w:t>
      </w:r>
      <w:r w:rsidR="00F260EA" w:rsidRPr="001457A4">
        <w:rPr>
          <w:sz w:val="23"/>
          <w:szCs w:val="23"/>
        </w:rPr>
        <w:t>by the scruff</w:t>
      </w:r>
      <w:r w:rsidR="008D6A24" w:rsidRPr="001457A4">
        <w:rPr>
          <w:sz w:val="23"/>
          <w:szCs w:val="23"/>
        </w:rPr>
        <w:t xml:space="preserve"> </w:t>
      </w:r>
      <w:r w:rsidRPr="001457A4">
        <w:rPr>
          <w:sz w:val="23"/>
          <w:szCs w:val="23"/>
        </w:rPr>
        <w:t>in dorsal recumb</w:t>
      </w:r>
      <w:r w:rsidR="000A3BB2">
        <w:rPr>
          <w:sz w:val="23"/>
          <w:szCs w:val="23"/>
        </w:rPr>
        <w:t>e</w:t>
      </w:r>
      <w:r w:rsidRPr="001457A4">
        <w:rPr>
          <w:sz w:val="23"/>
          <w:szCs w:val="23"/>
        </w:rPr>
        <w:t>ncy</w:t>
      </w:r>
      <w:r w:rsidR="00D140D0" w:rsidRPr="001457A4">
        <w:rPr>
          <w:sz w:val="23"/>
          <w:szCs w:val="23"/>
        </w:rPr>
        <w:t>.</w:t>
      </w:r>
    </w:p>
    <w:p w14:paraId="559AA8E1" w14:textId="281DF5DE" w:rsidR="001457A4" w:rsidRDefault="008D6A24" w:rsidP="001457A4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457A4">
        <w:rPr>
          <w:sz w:val="23"/>
          <w:szCs w:val="23"/>
        </w:rPr>
        <w:t xml:space="preserve"> </w:t>
      </w:r>
      <w:r w:rsidR="002655DE" w:rsidRPr="001457A4">
        <w:rPr>
          <w:sz w:val="23"/>
          <w:szCs w:val="23"/>
        </w:rPr>
        <w:t>5-</w:t>
      </w:r>
      <w:r w:rsidR="00F260EA" w:rsidRPr="001457A4">
        <w:rPr>
          <w:sz w:val="23"/>
          <w:szCs w:val="23"/>
        </w:rPr>
        <w:t>10</w:t>
      </w:r>
      <w:r w:rsidRPr="001457A4">
        <w:rPr>
          <w:sz w:val="23"/>
          <w:szCs w:val="23"/>
        </w:rPr>
        <w:t xml:space="preserve"> microliters (</w:t>
      </w:r>
      <w:r w:rsidR="003B574A" w:rsidRPr="001457A4">
        <w:rPr>
          <w:sz w:val="23"/>
          <w:szCs w:val="23"/>
        </w:rPr>
        <w:t>µ</w:t>
      </w:r>
      <w:r w:rsidRPr="001457A4">
        <w:rPr>
          <w:sz w:val="23"/>
          <w:szCs w:val="23"/>
        </w:rPr>
        <w:t>L)</w:t>
      </w:r>
      <w:r w:rsidR="003525F6" w:rsidRPr="001457A4">
        <w:rPr>
          <w:sz w:val="23"/>
          <w:szCs w:val="23"/>
        </w:rPr>
        <w:t xml:space="preserve"> </w:t>
      </w:r>
      <w:r w:rsidRPr="001457A4">
        <w:rPr>
          <w:sz w:val="23"/>
          <w:szCs w:val="23"/>
        </w:rPr>
        <w:t xml:space="preserve">of </w:t>
      </w:r>
      <w:r w:rsidR="005F365D" w:rsidRPr="001457A4">
        <w:rPr>
          <w:sz w:val="23"/>
          <w:szCs w:val="23"/>
        </w:rPr>
        <w:t xml:space="preserve">material </w:t>
      </w:r>
      <w:proofErr w:type="gramStart"/>
      <w:r w:rsidR="00C40915" w:rsidRPr="001457A4">
        <w:rPr>
          <w:sz w:val="23"/>
          <w:szCs w:val="23"/>
        </w:rPr>
        <w:t>is</w:t>
      </w:r>
      <w:proofErr w:type="gramEnd"/>
      <w:r w:rsidR="00C40915" w:rsidRPr="001457A4">
        <w:rPr>
          <w:sz w:val="23"/>
          <w:szCs w:val="23"/>
        </w:rPr>
        <w:t xml:space="preserve"> delivered by the individual restraining the mouse or a second individual </w:t>
      </w:r>
      <w:r w:rsidRPr="001457A4">
        <w:rPr>
          <w:sz w:val="23"/>
          <w:szCs w:val="23"/>
        </w:rPr>
        <w:t xml:space="preserve">into </w:t>
      </w:r>
      <w:r w:rsidR="00380A0B">
        <w:rPr>
          <w:sz w:val="23"/>
          <w:szCs w:val="23"/>
        </w:rPr>
        <w:t>each</w:t>
      </w:r>
      <w:r w:rsidRPr="001457A4">
        <w:rPr>
          <w:sz w:val="23"/>
          <w:szCs w:val="23"/>
        </w:rPr>
        <w:t xml:space="preserve"> nostril using a mechanical pipette. The mouse is carefully monitored for signs of distress (excessive struggling, mucus membrane color changes, </w:t>
      </w:r>
      <w:r w:rsidR="00C40915" w:rsidRPr="001457A4">
        <w:rPr>
          <w:sz w:val="23"/>
          <w:szCs w:val="23"/>
        </w:rPr>
        <w:t xml:space="preserve">ventilatory </w:t>
      </w:r>
      <w:r w:rsidRPr="001457A4">
        <w:rPr>
          <w:sz w:val="23"/>
          <w:szCs w:val="23"/>
        </w:rPr>
        <w:t>changes) while the procedure is being performed</w:t>
      </w:r>
      <w:r w:rsidR="00380A0B">
        <w:rPr>
          <w:sz w:val="23"/>
          <w:szCs w:val="23"/>
        </w:rPr>
        <w:t xml:space="preserve"> and</w:t>
      </w:r>
      <w:r w:rsidR="00380A0B" w:rsidRPr="00380A0B">
        <w:rPr>
          <w:sz w:val="23"/>
          <w:szCs w:val="23"/>
        </w:rPr>
        <w:t xml:space="preserve"> </w:t>
      </w:r>
      <w:r w:rsidR="00380A0B" w:rsidRPr="001457A4">
        <w:rPr>
          <w:sz w:val="23"/>
          <w:szCs w:val="23"/>
        </w:rPr>
        <w:t>between nostril injections</w:t>
      </w:r>
      <w:r w:rsidR="00380A0B">
        <w:rPr>
          <w:sz w:val="23"/>
          <w:szCs w:val="23"/>
        </w:rPr>
        <w:t>.</w:t>
      </w:r>
    </w:p>
    <w:p w14:paraId="45B41F6C" w14:textId="580C9F60" w:rsidR="009C7DBF" w:rsidRPr="00042ED1" w:rsidRDefault="003525F6" w:rsidP="009C7DBF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1457A4">
        <w:rPr>
          <w:sz w:val="23"/>
          <w:szCs w:val="23"/>
        </w:rPr>
        <w:t xml:space="preserve">If the animal shows any signs of distress, </w:t>
      </w:r>
      <w:r w:rsidR="00380A0B">
        <w:rPr>
          <w:sz w:val="23"/>
          <w:szCs w:val="23"/>
        </w:rPr>
        <w:t>it</w:t>
      </w:r>
      <w:r w:rsidRPr="001457A4">
        <w:rPr>
          <w:sz w:val="23"/>
          <w:szCs w:val="23"/>
        </w:rPr>
        <w:t xml:space="preserve"> </w:t>
      </w:r>
      <w:r w:rsidR="00380A0B">
        <w:rPr>
          <w:sz w:val="23"/>
          <w:szCs w:val="23"/>
        </w:rPr>
        <w:t xml:space="preserve">is released </w:t>
      </w:r>
      <w:r w:rsidRPr="001457A4">
        <w:rPr>
          <w:sz w:val="23"/>
          <w:szCs w:val="23"/>
        </w:rPr>
        <w:t>from restraint and monitor</w:t>
      </w:r>
      <w:r w:rsidR="00380A0B">
        <w:rPr>
          <w:sz w:val="23"/>
          <w:szCs w:val="23"/>
        </w:rPr>
        <w:t>ed</w:t>
      </w:r>
      <w:r w:rsidRPr="001457A4">
        <w:rPr>
          <w:sz w:val="23"/>
          <w:szCs w:val="23"/>
        </w:rPr>
        <w:t xml:space="preserve">. </w:t>
      </w:r>
      <w:r w:rsidR="00380A0B">
        <w:rPr>
          <w:sz w:val="23"/>
          <w:szCs w:val="23"/>
        </w:rPr>
        <w:t xml:space="preserve">The </w:t>
      </w:r>
      <w:r w:rsidR="001457A4" w:rsidRPr="001457A4">
        <w:rPr>
          <w:sz w:val="23"/>
          <w:szCs w:val="23"/>
        </w:rPr>
        <w:t xml:space="preserve">veterinary team </w:t>
      </w:r>
      <w:r w:rsidR="00380A0B">
        <w:rPr>
          <w:sz w:val="23"/>
          <w:szCs w:val="23"/>
        </w:rPr>
        <w:t xml:space="preserve">should be called </w:t>
      </w:r>
      <w:r w:rsidR="001457A4" w:rsidRPr="001457A4">
        <w:rPr>
          <w:sz w:val="23"/>
          <w:szCs w:val="23"/>
        </w:rPr>
        <w:t>if the animal does not immediately return to a normal state.</w:t>
      </w:r>
      <w:r w:rsidR="008D6A24" w:rsidRPr="009C7DBF">
        <w:rPr>
          <w:rFonts w:ascii="Arial" w:hAnsi="Arial" w:cs="Arial"/>
          <w:sz w:val="20"/>
          <w:szCs w:val="20"/>
        </w:rPr>
        <w:t xml:space="preserve"> </w:t>
      </w:r>
    </w:p>
    <w:p w14:paraId="641E8E1C" w14:textId="774B1404" w:rsidR="008D6A24" w:rsidRPr="009C7DBF" w:rsidRDefault="008D6A24" w:rsidP="009C7DBF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9C7DBF">
        <w:rPr>
          <w:sz w:val="23"/>
          <w:szCs w:val="23"/>
        </w:rPr>
        <w:t xml:space="preserve">The mouse is </w:t>
      </w:r>
      <w:r w:rsidR="00512B0A" w:rsidRPr="009C7DBF">
        <w:rPr>
          <w:sz w:val="23"/>
          <w:szCs w:val="23"/>
        </w:rPr>
        <w:t xml:space="preserve">then </w:t>
      </w:r>
      <w:r w:rsidRPr="009C7DBF">
        <w:rPr>
          <w:sz w:val="23"/>
          <w:szCs w:val="23"/>
        </w:rPr>
        <w:t>returned to its cage and observed for any signs of distress</w:t>
      </w:r>
      <w:r w:rsidR="003B574A" w:rsidRPr="009C7DBF">
        <w:rPr>
          <w:sz w:val="23"/>
          <w:szCs w:val="23"/>
        </w:rPr>
        <w:t xml:space="preserve"> that are</w:t>
      </w:r>
      <w:r w:rsidRPr="009C7DBF">
        <w:rPr>
          <w:sz w:val="23"/>
          <w:szCs w:val="23"/>
        </w:rPr>
        <w:t xml:space="preserve"> immediately apparent. </w:t>
      </w:r>
    </w:p>
    <w:p w14:paraId="796A39A0" w14:textId="77777777" w:rsidR="009C7DBF" w:rsidRDefault="005F365D" w:rsidP="00042ED1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D</w:t>
      </w:r>
      <w:r w:rsidR="008D6A24">
        <w:rPr>
          <w:sz w:val="23"/>
          <w:szCs w:val="23"/>
        </w:rPr>
        <w:t xml:space="preserve">elivery </w:t>
      </w:r>
      <w:r>
        <w:rPr>
          <w:sz w:val="23"/>
          <w:szCs w:val="23"/>
        </w:rPr>
        <w:t xml:space="preserve">of material </w:t>
      </w:r>
      <w:r w:rsidR="008D6A24">
        <w:rPr>
          <w:sz w:val="23"/>
          <w:szCs w:val="23"/>
        </w:rPr>
        <w:t xml:space="preserve">is conducted at intervals and durations as </w:t>
      </w:r>
      <w:r>
        <w:rPr>
          <w:sz w:val="23"/>
          <w:szCs w:val="23"/>
        </w:rPr>
        <w:t>described</w:t>
      </w:r>
      <w:r w:rsidR="008D6A24">
        <w:rPr>
          <w:sz w:val="23"/>
          <w:szCs w:val="23"/>
        </w:rPr>
        <w:t xml:space="preserve"> in the IACUC-approved protocol.</w:t>
      </w:r>
    </w:p>
    <w:p w14:paraId="39069EF5" w14:textId="77777777" w:rsidR="009C7DBF" w:rsidRDefault="009C7DBF" w:rsidP="00042ED1">
      <w:pPr>
        <w:pStyle w:val="Default"/>
        <w:ind w:left="720"/>
        <w:rPr>
          <w:sz w:val="23"/>
          <w:szCs w:val="23"/>
        </w:rPr>
      </w:pPr>
    </w:p>
    <w:p w14:paraId="6EA9A6B0" w14:textId="7B319AA5" w:rsidR="00BB1D7A" w:rsidRPr="00042ED1" w:rsidRDefault="00BB1D7A" w:rsidP="0052712E">
      <w:pPr>
        <w:pStyle w:val="Default"/>
        <w:rPr>
          <w:sz w:val="23"/>
          <w:szCs w:val="23"/>
        </w:rPr>
      </w:pPr>
      <w:r w:rsidRPr="009C7DBF">
        <w:rPr>
          <w:b/>
          <w:sz w:val="23"/>
          <w:szCs w:val="23"/>
        </w:rPr>
        <w:t>Rat</w:t>
      </w:r>
    </w:p>
    <w:p w14:paraId="43D1A4CE" w14:textId="77777777" w:rsidR="009403B8" w:rsidRDefault="009403B8" w:rsidP="009403B8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The rat is restrained by wrapping it in a towel and holding the temporomandibular joint gently to control head movement.</w:t>
      </w:r>
    </w:p>
    <w:p w14:paraId="597F6D19" w14:textId="206E04E4" w:rsidR="003525F6" w:rsidRDefault="003525F6" w:rsidP="00B13FD7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3525F6">
        <w:rPr>
          <w:sz w:val="23"/>
          <w:szCs w:val="23"/>
        </w:rPr>
        <w:t>10-20 microliters (µL</w:t>
      </w:r>
      <w:r w:rsidR="00380A0B">
        <w:rPr>
          <w:sz w:val="23"/>
          <w:szCs w:val="23"/>
        </w:rPr>
        <w:t>)</w:t>
      </w:r>
      <w:r w:rsidRPr="003525F6">
        <w:rPr>
          <w:sz w:val="23"/>
          <w:szCs w:val="23"/>
        </w:rPr>
        <w:t xml:space="preserve"> of material </w:t>
      </w:r>
      <w:proofErr w:type="gramStart"/>
      <w:r w:rsidRPr="003525F6">
        <w:rPr>
          <w:sz w:val="23"/>
          <w:szCs w:val="23"/>
        </w:rPr>
        <w:t>is</w:t>
      </w:r>
      <w:proofErr w:type="gramEnd"/>
      <w:r w:rsidRPr="003525F6">
        <w:rPr>
          <w:sz w:val="23"/>
          <w:szCs w:val="23"/>
        </w:rPr>
        <w:t xml:space="preserve"> delivered by the individual restraining the rat or a second individual into </w:t>
      </w:r>
      <w:r w:rsidR="00380A0B">
        <w:rPr>
          <w:sz w:val="23"/>
          <w:szCs w:val="23"/>
        </w:rPr>
        <w:t>each</w:t>
      </w:r>
      <w:r w:rsidRPr="003525F6">
        <w:rPr>
          <w:sz w:val="23"/>
          <w:szCs w:val="23"/>
        </w:rPr>
        <w:t xml:space="preserve"> nostril using a mechanical pipette.  The animal is carefully monitored for signs of distress (excessive struggling, mucus membrane color changes, </w:t>
      </w:r>
      <w:r w:rsidRPr="001457A4">
        <w:rPr>
          <w:sz w:val="23"/>
          <w:szCs w:val="23"/>
        </w:rPr>
        <w:t>ventilatory changes)</w:t>
      </w:r>
      <w:r>
        <w:rPr>
          <w:sz w:val="23"/>
          <w:szCs w:val="23"/>
        </w:rPr>
        <w:t xml:space="preserve"> </w:t>
      </w:r>
      <w:r w:rsidR="001457A4" w:rsidRPr="003525F6">
        <w:rPr>
          <w:sz w:val="23"/>
          <w:szCs w:val="23"/>
        </w:rPr>
        <w:t>while</w:t>
      </w:r>
      <w:r w:rsidRPr="003525F6">
        <w:rPr>
          <w:sz w:val="23"/>
          <w:szCs w:val="23"/>
        </w:rPr>
        <w:t xml:space="preserve"> the procedure is being performed</w:t>
      </w:r>
      <w:r w:rsidR="00380A0B" w:rsidRPr="00380A0B">
        <w:rPr>
          <w:sz w:val="23"/>
          <w:szCs w:val="23"/>
        </w:rPr>
        <w:t xml:space="preserve"> </w:t>
      </w:r>
      <w:r w:rsidR="00380A0B">
        <w:rPr>
          <w:sz w:val="23"/>
          <w:szCs w:val="23"/>
        </w:rPr>
        <w:t>and between nostril injections</w:t>
      </w:r>
      <w:r w:rsidRPr="003525F6">
        <w:rPr>
          <w:sz w:val="23"/>
          <w:szCs w:val="23"/>
        </w:rPr>
        <w:t xml:space="preserve">. </w:t>
      </w:r>
    </w:p>
    <w:p w14:paraId="55639446" w14:textId="63388040" w:rsidR="003525F6" w:rsidRPr="001457A4" w:rsidRDefault="003525F6" w:rsidP="00042ED1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If the animal shows any signs of distress, </w:t>
      </w:r>
      <w:r w:rsidR="00380A0B">
        <w:rPr>
          <w:sz w:val="23"/>
          <w:szCs w:val="23"/>
        </w:rPr>
        <w:t>it is released</w:t>
      </w:r>
      <w:r>
        <w:rPr>
          <w:sz w:val="23"/>
          <w:szCs w:val="23"/>
        </w:rPr>
        <w:t xml:space="preserve"> from restraint and monitor</w:t>
      </w:r>
      <w:r w:rsidR="001A4262">
        <w:rPr>
          <w:sz w:val="23"/>
          <w:szCs w:val="23"/>
        </w:rPr>
        <w:t>ed</w:t>
      </w:r>
      <w:r>
        <w:rPr>
          <w:sz w:val="23"/>
          <w:szCs w:val="23"/>
        </w:rPr>
        <w:t xml:space="preserve">. </w:t>
      </w:r>
      <w:r w:rsidR="00380A0B">
        <w:rPr>
          <w:sz w:val="23"/>
          <w:szCs w:val="23"/>
        </w:rPr>
        <w:t xml:space="preserve">The </w:t>
      </w:r>
      <w:r w:rsidR="00380A0B" w:rsidRPr="001457A4">
        <w:rPr>
          <w:sz w:val="23"/>
          <w:szCs w:val="23"/>
        </w:rPr>
        <w:t xml:space="preserve">veterinary team </w:t>
      </w:r>
      <w:r w:rsidR="00380A0B">
        <w:rPr>
          <w:sz w:val="23"/>
          <w:szCs w:val="23"/>
        </w:rPr>
        <w:t xml:space="preserve">should be called </w:t>
      </w:r>
      <w:r w:rsidR="001457A4">
        <w:rPr>
          <w:sz w:val="23"/>
          <w:szCs w:val="23"/>
        </w:rPr>
        <w:t>if the animal does not immediately return to a normal state.</w:t>
      </w:r>
    </w:p>
    <w:p w14:paraId="612D6984" w14:textId="77777777" w:rsidR="009C7DBF" w:rsidRDefault="003525F6" w:rsidP="00042ED1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The rat is then returned to its cage and observed for any signs of distress that are immediately apparent.</w:t>
      </w:r>
    </w:p>
    <w:p w14:paraId="3F7337D7" w14:textId="77777777" w:rsidR="009C7DBF" w:rsidRDefault="009C7DBF" w:rsidP="009C7DB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Delivery of material is conducted at intervals and durations as described in the IACUC-approved protocol.</w:t>
      </w:r>
    </w:p>
    <w:p w14:paraId="7811BF29" w14:textId="2635CBBD" w:rsidR="003525F6" w:rsidRPr="00042ED1" w:rsidRDefault="003525F6" w:rsidP="00042ED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14:paraId="692390A0" w14:textId="0B5EB7E2" w:rsidR="008D6A24" w:rsidRDefault="008D6A24" w:rsidP="009C7DBF">
      <w:pPr>
        <w:pStyle w:val="Default"/>
        <w:rPr>
          <w:b/>
          <w:bCs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Oral</w:t>
      </w:r>
      <w:r w:rsidR="00956A84">
        <w:rPr>
          <w:b/>
          <w:bCs/>
          <w:iCs/>
          <w:sz w:val="23"/>
          <w:szCs w:val="23"/>
        </w:rPr>
        <w:t xml:space="preserve"> </w:t>
      </w:r>
      <w:r w:rsidR="00956A84" w:rsidRPr="00B13FD7">
        <w:rPr>
          <w:b/>
          <w:bCs/>
          <w:i/>
          <w:sz w:val="23"/>
          <w:szCs w:val="23"/>
        </w:rPr>
        <w:t>Gavage</w:t>
      </w:r>
      <w:r w:rsidR="008E084C">
        <w:rPr>
          <w:b/>
          <w:bCs/>
          <w:i/>
          <w:sz w:val="23"/>
          <w:szCs w:val="23"/>
        </w:rPr>
        <w:t xml:space="preserve"> </w:t>
      </w:r>
      <w:bookmarkStart w:id="1" w:name="_Hlk97216649"/>
      <w:r w:rsidR="008E084C">
        <w:rPr>
          <w:b/>
          <w:bCs/>
          <w:i/>
          <w:sz w:val="23"/>
          <w:szCs w:val="23"/>
        </w:rPr>
        <w:t>– a.k.a. delivery of material directly into the stomach</w:t>
      </w:r>
      <w:bookmarkEnd w:id="1"/>
    </w:p>
    <w:p w14:paraId="33F41EB3" w14:textId="527DEFE2" w:rsidR="0096618B" w:rsidRDefault="00941ED5" w:rsidP="009C7DBF">
      <w:pPr>
        <w:pStyle w:val="Default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Equipment</w:t>
      </w:r>
    </w:p>
    <w:p w14:paraId="6280966D" w14:textId="14FF3775" w:rsidR="00044019" w:rsidRPr="00B13FD7" w:rsidRDefault="00941ED5" w:rsidP="009C7DBF">
      <w:pPr>
        <w:pStyle w:val="Default"/>
        <w:rPr>
          <w:iCs/>
          <w:sz w:val="23"/>
          <w:szCs w:val="23"/>
        </w:rPr>
      </w:pPr>
      <w:r w:rsidRPr="00B13FD7">
        <w:rPr>
          <w:iCs/>
          <w:sz w:val="23"/>
          <w:szCs w:val="23"/>
        </w:rPr>
        <w:t xml:space="preserve">Oral gavage needles come in plastic and metal varieties. </w:t>
      </w:r>
      <w:r w:rsidR="005873D7" w:rsidRPr="00B13FD7">
        <w:rPr>
          <w:iCs/>
          <w:sz w:val="23"/>
          <w:szCs w:val="23"/>
        </w:rPr>
        <w:t xml:space="preserve">The plastic needles are recommended due to a reduction in potential </w:t>
      </w:r>
      <w:r w:rsidR="007B4331" w:rsidRPr="00B13FD7">
        <w:rPr>
          <w:iCs/>
          <w:sz w:val="23"/>
          <w:szCs w:val="23"/>
        </w:rPr>
        <w:t>adverse events</w:t>
      </w:r>
      <w:r w:rsidR="00B13FD7">
        <w:rPr>
          <w:iCs/>
          <w:sz w:val="23"/>
          <w:szCs w:val="23"/>
        </w:rPr>
        <w:t xml:space="preserve"> because t</w:t>
      </w:r>
      <w:r w:rsidR="007B4331" w:rsidRPr="00B13FD7">
        <w:rPr>
          <w:iCs/>
          <w:sz w:val="23"/>
          <w:szCs w:val="23"/>
        </w:rPr>
        <w:t xml:space="preserve">he metal needles have an increased chance </w:t>
      </w:r>
      <w:r w:rsidR="00B13FD7">
        <w:rPr>
          <w:iCs/>
          <w:sz w:val="23"/>
          <w:szCs w:val="23"/>
        </w:rPr>
        <w:t xml:space="preserve">of </w:t>
      </w:r>
      <w:r w:rsidR="007B4331" w:rsidRPr="00B13FD7">
        <w:rPr>
          <w:iCs/>
          <w:sz w:val="23"/>
          <w:szCs w:val="23"/>
        </w:rPr>
        <w:t>perforat</w:t>
      </w:r>
      <w:r w:rsidR="00B13FD7">
        <w:rPr>
          <w:iCs/>
          <w:sz w:val="23"/>
          <w:szCs w:val="23"/>
        </w:rPr>
        <w:t>ing</w:t>
      </w:r>
      <w:r w:rsidR="007B4331" w:rsidRPr="00B13FD7">
        <w:rPr>
          <w:iCs/>
          <w:sz w:val="23"/>
          <w:szCs w:val="23"/>
        </w:rPr>
        <w:t xml:space="preserve"> the esophagus </w:t>
      </w:r>
      <w:r w:rsidR="00CA3B72" w:rsidRPr="00B13FD7">
        <w:rPr>
          <w:iCs/>
          <w:sz w:val="23"/>
          <w:szCs w:val="23"/>
        </w:rPr>
        <w:t xml:space="preserve">during the procedure. </w:t>
      </w:r>
    </w:p>
    <w:p w14:paraId="3766B5FC" w14:textId="77777777" w:rsidR="00B13FD7" w:rsidRDefault="00B13FD7" w:rsidP="009C7DBF">
      <w:pPr>
        <w:pStyle w:val="Default"/>
        <w:rPr>
          <w:b/>
          <w:bCs/>
          <w:iCs/>
          <w:sz w:val="23"/>
          <w:szCs w:val="23"/>
        </w:rPr>
      </w:pPr>
    </w:p>
    <w:p w14:paraId="6C5F906E" w14:textId="77777777" w:rsidR="000701EF" w:rsidRDefault="000701EF" w:rsidP="009C7DBF">
      <w:pPr>
        <w:pStyle w:val="Default"/>
        <w:rPr>
          <w:b/>
          <w:bCs/>
          <w:iCs/>
          <w:sz w:val="23"/>
          <w:szCs w:val="23"/>
        </w:rPr>
      </w:pPr>
    </w:p>
    <w:p w14:paraId="355F8412" w14:textId="210232B2" w:rsidR="0052712E" w:rsidRPr="00042ED1" w:rsidRDefault="0052712E" w:rsidP="009C7DB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lastRenderedPageBreak/>
        <w:t>Mouse</w:t>
      </w:r>
    </w:p>
    <w:p w14:paraId="12B8B0F1" w14:textId="4DA1E489" w:rsidR="003B79D0" w:rsidRDefault="003B79D0" w:rsidP="00042ED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An appropriately sized gavage needle is attached to 1ml syringe. Needle </w:t>
      </w:r>
      <w:r w:rsidR="00B13FD7">
        <w:rPr>
          <w:sz w:val="23"/>
          <w:szCs w:val="23"/>
        </w:rPr>
        <w:t xml:space="preserve">gauge </w:t>
      </w:r>
      <w:r>
        <w:rPr>
          <w:sz w:val="23"/>
          <w:szCs w:val="23"/>
        </w:rPr>
        <w:t xml:space="preserve">size for a mouse should be 20-22g with the length depending on the size of the mouse. </w:t>
      </w:r>
      <w:r w:rsidR="00B13FD7">
        <w:rPr>
          <w:sz w:val="23"/>
          <w:szCs w:val="23"/>
        </w:rPr>
        <w:t>To determine the proper</w:t>
      </w:r>
      <w:r w:rsidR="0048462C">
        <w:rPr>
          <w:sz w:val="23"/>
          <w:szCs w:val="23"/>
        </w:rPr>
        <w:t xml:space="preserve"> needle</w:t>
      </w:r>
      <w:r w:rsidR="00B13FD7">
        <w:rPr>
          <w:sz w:val="23"/>
          <w:szCs w:val="23"/>
        </w:rPr>
        <w:t xml:space="preserve"> length</w:t>
      </w:r>
      <w:r w:rsidR="0048462C">
        <w:rPr>
          <w:sz w:val="23"/>
          <w:szCs w:val="23"/>
        </w:rPr>
        <w:t xml:space="preserve">, place the ball end of the needle at </w:t>
      </w:r>
      <w:r>
        <w:rPr>
          <w:sz w:val="23"/>
          <w:szCs w:val="23"/>
        </w:rPr>
        <w:t xml:space="preserve">the </w:t>
      </w:r>
      <w:r w:rsidR="0048462C">
        <w:rPr>
          <w:sz w:val="23"/>
          <w:szCs w:val="23"/>
        </w:rPr>
        <w:t xml:space="preserve">base of </w:t>
      </w:r>
      <w:r>
        <w:rPr>
          <w:sz w:val="23"/>
          <w:szCs w:val="23"/>
        </w:rPr>
        <w:t xml:space="preserve">the rib cage (Figure a). </w:t>
      </w:r>
      <w:bookmarkStart w:id="2" w:name="_Hlk97216038"/>
      <w:r w:rsidR="0048462C">
        <w:rPr>
          <w:sz w:val="23"/>
          <w:szCs w:val="23"/>
        </w:rPr>
        <w:t>For a</w:t>
      </w:r>
      <w:r w:rsidR="00B13FD7">
        <w:rPr>
          <w:sz w:val="23"/>
          <w:szCs w:val="23"/>
        </w:rPr>
        <w:t>n</w:t>
      </w:r>
      <w:r w:rsidR="00B76634">
        <w:rPr>
          <w:sz w:val="23"/>
          <w:szCs w:val="23"/>
        </w:rPr>
        <w:t xml:space="preserve"> average</w:t>
      </w:r>
      <w:r w:rsidR="00B13FD7">
        <w:rPr>
          <w:sz w:val="23"/>
          <w:szCs w:val="23"/>
        </w:rPr>
        <w:t>-</w:t>
      </w:r>
      <w:r w:rsidR="00B76634">
        <w:rPr>
          <w:sz w:val="23"/>
          <w:szCs w:val="23"/>
        </w:rPr>
        <w:t xml:space="preserve">sized </w:t>
      </w:r>
      <w:r w:rsidR="003E3350">
        <w:rPr>
          <w:sz w:val="23"/>
          <w:szCs w:val="23"/>
        </w:rPr>
        <w:t xml:space="preserve">adult </w:t>
      </w:r>
      <w:r w:rsidR="00B76634">
        <w:rPr>
          <w:sz w:val="23"/>
          <w:szCs w:val="23"/>
        </w:rPr>
        <w:t>mouse</w:t>
      </w:r>
      <w:r w:rsidR="0048462C">
        <w:rPr>
          <w:sz w:val="23"/>
          <w:szCs w:val="23"/>
        </w:rPr>
        <w:t xml:space="preserve">, </w:t>
      </w:r>
      <w:r w:rsidR="00B76634">
        <w:rPr>
          <w:sz w:val="23"/>
          <w:szCs w:val="23"/>
        </w:rPr>
        <w:t xml:space="preserve">the </w:t>
      </w:r>
      <w:r w:rsidR="00E77F51">
        <w:rPr>
          <w:sz w:val="23"/>
          <w:szCs w:val="23"/>
        </w:rPr>
        <w:t xml:space="preserve">hub of </w:t>
      </w:r>
      <w:r w:rsidR="003E3350">
        <w:rPr>
          <w:sz w:val="23"/>
          <w:szCs w:val="23"/>
        </w:rPr>
        <w:t xml:space="preserve">a </w:t>
      </w:r>
      <w:r w:rsidR="00B75CF0">
        <w:rPr>
          <w:sz w:val="23"/>
          <w:szCs w:val="23"/>
        </w:rPr>
        <w:t>1.5-inch</w:t>
      </w:r>
      <w:r w:rsidR="00E77F51">
        <w:rPr>
          <w:sz w:val="23"/>
          <w:szCs w:val="23"/>
        </w:rPr>
        <w:t xml:space="preserve"> </w:t>
      </w:r>
      <w:r w:rsidR="00615603">
        <w:rPr>
          <w:sz w:val="23"/>
          <w:szCs w:val="23"/>
        </w:rPr>
        <w:t xml:space="preserve">gavage needle </w:t>
      </w:r>
      <w:r w:rsidR="0048462C">
        <w:rPr>
          <w:sz w:val="23"/>
          <w:szCs w:val="23"/>
        </w:rPr>
        <w:t xml:space="preserve">would line up with </w:t>
      </w:r>
      <w:r w:rsidR="00615603">
        <w:rPr>
          <w:sz w:val="23"/>
          <w:szCs w:val="23"/>
        </w:rPr>
        <w:t xml:space="preserve">the corner of the mouse’s mouth. </w:t>
      </w:r>
      <w:r w:rsidR="00E11BE0">
        <w:rPr>
          <w:sz w:val="23"/>
          <w:szCs w:val="23"/>
        </w:rPr>
        <w:t xml:space="preserve">While measuring, if the hub of the gavage needle </w:t>
      </w:r>
      <w:r w:rsidR="00006BE7">
        <w:rPr>
          <w:sz w:val="23"/>
          <w:szCs w:val="23"/>
        </w:rPr>
        <w:t>extends past the mouth</w:t>
      </w:r>
      <w:r w:rsidR="00B13FD7">
        <w:rPr>
          <w:sz w:val="23"/>
          <w:szCs w:val="23"/>
        </w:rPr>
        <w:t xml:space="preserve"> when the ball end is at the lower limit of the rib cage</w:t>
      </w:r>
      <w:r w:rsidR="00006BE7">
        <w:rPr>
          <w:sz w:val="23"/>
          <w:szCs w:val="23"/>
        </w:rPr>
        <w:t xml:space="preserve">, place a </w:t>
      </w:r>
      <w:r w:rsidR="0048462C">
        <w:rPr>
          <w:sz w:val="23"/>
          <w:szCs w:val="23"/>
        </w:rPr>
        <w:t xml:space="preserve">Sharpie </w:t>
      </w:r>
      <w:r w:rsidR="00006BE7">
        <w:rPr>
          <w:sz w:val="23"/>
          <w:szCs w:val="23"/>
        </w:rPr>
        <w:t xml:space="preserve">mark on the needle </w:t>
      </w:r>
      <w:r w:rsidR="00100C98">
        <w:rPr>
          <w:sz w:val="23"/>
          <w:szCs w:val="23"/>
        </w:rPr>
        <w:t xml:space="preserve">where the corner of the mouth </w:t>
      </w:r>
      <w:r w:rsidR="00DB0E2F">
        <w:rPr>
          <w:sz w:val="23"/>
          <w:szCs w:val="23"/>
        </w:rPr>
        <w:t>is.</w:t>
      </w:r>
      <w:r w:rsidR="00D06013">
        <w:rPr>
          <w:sz w:val="23"/>
          <w:szCs w:val="23"/>
        </w:rPr>
        <w:t xml:space="preserve"> This mark will </w:t>
      </w:r>
      <w:r w:rsidR="0048462C">
        <w:rPr>
          <w:sz w:val="23"/>
          <w:szCs w:val="23"/>
        </w:rPr>
        <w:t xml:space="preserve">indicate </w:t>
      </w:r>
      <w:r w:rsidR="00D06013">
        <w:rPr>
          <w:sz w:val="23"/>
          <w:szCs w:val="23"/>
        </w:rPr>
        <w:t xml:space="preserve">the stopping </w:t>
      </w:r>
      <w:r w:rsidR="0048462C">
        <w:rPr>
          <w:sz w:val="23"/>
          <w:szCs w:val="23"/>
        </w:rPr>
        <w:t>poin</w:t>
      </w:r>
      <w:r w:rsidR="00D06013">
        <w:rPr>
          <w:sz w:val="23"/>
          <w:szCs w:val="23"/>
        </w:rPr>
        <w:t>t when inserting the gavage needle</w:t>
      </w:r>
      <w:r w:rsidR="0048462C">
        <w:rPr>
          <w:sz w:val="23"/>
          <w:szCs w:val="23"/>
        </w:rPr>
        <w:t xml:space="preserve"> down the esophagus</w:t>
      </w:r>
      <w:r w:rsidR="00D06013">
        <w:rPr>
          <w:sz w:val="23"/>
          <w:szCs w:val="23"/>
        </w:rPr>
        <w:t>.</w:t>
      </w:r>
      <w:r w:rsidR="001D3C06">
        <w:rPr>
          <w:sz w:val="23"/>
          <w:szCs w:val="23"/>
        </w:rPr>
        <w:t xml:space="preserve"> </w:t>
      </w:r>
    </w:p>
    <w:bookmarkEnd w:id="2"/>
    <w:p w14:paraId="1470454F" w14:textId="16E9B91C" w:rsidR="008D6A24" w:rsidRDefault="00512B0A" w:rsidP="00042ED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8D6A24">
        <w:rPr>
          <w:sz w:val="23"/>
          <w:szCs w:val="23"/>
        </w:rPr>
        <w:t xml:space="preserve">mouse is restrained </w:t>
      </w:r>
      <w:r>
        <w:rPr>
          <w:sz w:val="23"/>
          <w:szCs w:val="23"/>
        </w:rPr>
        <w:t xml:space="preserve">in a vertical (i.e., head up) position </w:t>
      </w:r>
      <w:r w:rsidR="008D6A24">
        <w:rPr>
          <w:sz w:val="23"/>
          <w:szCs w:val="23"/>
        </w:rPr>
        <w:t xml:space="preserve">by </w:t>
      </w:r>
      <w:r>
        <w:rPr>
          <w:sz w:val="23"/>
          <w:szCs w:val="23"/>
        </w:rPr>
        <w:t>holding t</w:t>
      </w:r>
      <w:r w:rsidR="008D6A24">
        <w:rPr>
          <w:sz w:val="23"/>
          <w:szCs w:val="23"/>
        </w:rPr>
        <w:t>he mouse by the scruff</w:t>
      </w:r>
      <w:r>
        <w:rPr>
          <w:sz w:val="23"/>
          <w:szCs w:val="23"/>
        </w:rPr>
        <w:t>.</w:t>
      </w:r>
      <w:r w:rsidR="001138E4">
        <w:rPr>
          <w:sz w:val="23"/>
          <w:szCs w:val="23"/>
        </w:rPr>
        <w:t xml:space="preserve"> It is important that the mouse’s head and neck are </w:t>
      </w:r>
      <w:r w:rsidR="0048462C">
        <w:rPr>
          <w:sz w:val="23"/>
          <w:szCs w:val="23"/>
        </w:rPr>
        <w:t>extend</w:t>
      </w:r>
      <w:r w:rsidR="00805947">
        <w:rPr>
          <w:sz w:val="23"/>
          <w:szCs w:val="23"/>
        </w:rPr>
        <w:t>e</w:t>
      </w:r>
      <w:r w:rsidR="0048462C">
        <w:rPr>
          <w:sz w:val="23"/>
          <w:szCs w:val="23"/>
        </w:rPr>
        <w:t>d so that they are</w:t>
      </w:r>
      <w:r w:rsidR="00380A0B">
        <w:rPr>
          <w:sz w:val="23"/>
          <w:szCs w:val="23"/>
        </w:rPr>
        <w:t xml:space="preserve"> straight in line with the spine </w:t>
      </w:r>
      <w:r w:rsidR="001138E4">
        <w:rPr>
          <w:sz w:val="23"/>
          <w:szCs w:val="23"/>
        </w:rPr>
        <w:t>(Figure</w:t>
      </w:r>
      <w:r w:rsidR="00380A0B">
        <w:rPr>
          <w:sz w:val="23"/>
          <w:szCs w:val="23"/>
        </w:rPr>
        <w:t>s</w:t>
      </w:r>
      <w:r w:rsidR="001138E4">
        <w:rPr>
          <w:sz w:val="23"/>
          <w:szCs w:val="23"/>
        </w:rPr>
        <w:t xml:space="preserve"> b,</w:t>
      </w:r>
      <w:r w:rsidR="00380A0B">
        <w:rPr>
          <w:sz w:val="23"/>
          <w:szCs w:val="23"/>
        </w:rPr>
        <w:t xml:space="preserve"> </w:t>
      </w:r>
      <w:r w:rsidR="001138E4">
        <w:rPr>
          <w:sz w:val="23"/>
          <w:szCs w:val="23"/>
        </w:rPr>
        <w:t>c).</w:t>
      </w:r>
      <w:r w:rsidR="008D6A24">
        <w:rPr>
          <w:sz w:val="23"/>
          <w:szCs w:val="23"/>
        </w:rPr>
        <w:t xml:space="preserve"> </w:t>
      </w:r>
    </w:p>
    <w:p w14:paraId="321FB2DA" w14:textId="6A16AC72" w:rsidR="002655DE" w:rsidRDefault="001138E4" w:rsidP="00042ED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The gavage needle is gently and slowly passed down the esophagus until the </w:t>
      </w:r>
      <w:r w:rsidR="00B74BA9">
        <w:rPr>
          <w:sz w:val="23"/>
          <w:szCs w:val="23"/>
        </w:rPr>
        <w:t xml:space="preserve">tip of the gavage needle </w:t>
      </w:r>
      <w:r w:rsidR="00DB0E2F">
        <w:rPr>
          <w:sz w:val="23"/>
          <w:szCs w:val="23"/>
        </w:rPr>
        <w:t xml:space="preserve">hub or </w:t>
      </w:r>
      <w:r w:rsidR="003006E4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mark on the needle reaches the </w:t>
      </w:r>
      <w:r w:rsidR="00B74BA9">
        <w:rPr>
          <w:sz w:val="23"/>
          <w:szCs w:val="23"/>
        </w:rPr>
        <w:t xml:space="preserve">corner of the </w:t>
      </w:r>
      <w:r>
        <w:rPr>
          <w:sz w:val="23"/>
          <w:szCs w:val="23"/>
        </w:rPr>
        <w:t xml:space="preserve">mouse’s </w:t>
      </w:r>
      <w:r w:rsidR="00B74BA9">
        <w:rPr>
          <w:sz w:val="23"/>
          <w:szCs w:val="23"/>
        </w:rPr>
        <w:t>mouth</w:t>
      </w:r>
      <w:r>
        <w:rPr>
          <w:sz w:val="23"/>
          <w:szCs w:val="23"/>
        </w:rPr>
        <w:t>. If resistance is noted while insert</w:t>
      </w:r>
      <w:r w:rsidR="003006E4">
        <w:rPr>
          <w:sz w:val="23"/>
          <w:szCs w:val="23"/>
        </w:rPr>
        <w:t xml:space="preserve">ing the gavage needle, it should be </w:t>
      </w:r>
      <w:r>
        <w:rPr>
          <w:sz w:val="23"/>
          <w:szCs w:val="23"/>
        </w:rPr>
        <w:t xml:space="preserve">retracted and repositioned. </w:t>
      </w:r>
      <w:r w:rsidR="003006E4">
        <w:rPr>
          <w:sz w:val="23"/>
          <w:szCs w:val="23"/>
        </w:rPr>
        <w:t>Delivery v</w:t>
      </w:r>
      <w:r>
        <w:rPr>
          <w:sz w:val="23"/>
          <w:szCs w:val="23"/>
        </w:rPr>
        <w:t xml:space="preserve">olume should not exceed </w:t>
      </w:r>
      <w:r w:rsidR="006D3687">
        <w:rPr>
          <w:sz w:val="23"/>
          <w:szCs w:val="23"/>
        </w:rPr>
        <w:t>200</w:t>
      </w:r>
      <w:r>
        <w:rPr>
          <w:sz w:val="23"/>
          <w:szCs w:val="23"/>
        </w:rPr>
        <w:t>ul.</w:t>
      </w:r>
    </w:p>
    <w:p w14:paraId="57AECEFC" w14:textId="60CE7A53" w:rsidR="001138E4" w:rsidRDefault="001138E4" w:rsidP="00042ED1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Once the needle is properly positioned, the material is slowly administered while the mouse is m</w:t>
      </w:r>
      <w:r w:rsidRPr="00C91D5A">
        <w:rPr>
          <w:sz w:val="23"/>
          <w:szCs w:val="23"/>
        </w:rPr>
        <w:t>onitor</w:t>
      </w:r>
      <w:r>
        <w:rPr>
          <w:sz w:val="23"/>
          <w:szCs w:val="23"/>
        </w:rPr>
        <w:t>ed</w:t>
      </w:r>
      <w:r w:rsidRPr="00C91D5A">
        <w:rPr>
          <w:sz w:val="23"/>
          <w:szCs w:val="23"/>
        </w:rPr>
        <w:t xml:space="preserve"> for signs of distress </w:t>
      </w:r>
      <w:r>
        <w:rPr>
          <w:sz w:val="23"/>
          <w:szCs w:val="23"/>
        </w:rPr>
        <w:t>(</w:t>
      </w:r>
      <w:r w:rsidRPr="00C91D5A">
        <w:rPr>
          <w:sz w:val="23"/>
          <w:szCs w:val="23"/>
        </w:rPr>
        <w:t xml:space="preserve">as </w:t>
      </w:r>
      <w:r>
        <w:rPr>
          <w:sz w:val="23"/>
          <w:szCs w:val="23"/>
        </w:rPr>
        <w:t xml:space="preserve">described </w:t>
      </w:r>
      <w:r w:rsidRPr="00C91D5A">
        <w:rPr>
          <w:sz w:val="23"/>
          <w:szCs w:val="23"/>
        </w:rPr>
        <w:t>above</w:t>
      </w:r>
      <w:r>
        <w:rPr>
          <w:sz w:val="23"/>
          <w:szCs w:val="23"/>
        </w:rPr>
        <w:t>) or the emergence of</w:t>
      </w:r>
      <w:r w:rsidRPr="00C91D5A">
        <w:rPr>
          <w:sz w:val="23"/>
          <w:szCs w:val="23"/>
        </w:rPr>
        <w:t xml:space="preserve"> fluid from the nostrils. </w:t>
      </w:r>
      <w:r w:rsidR="003006E4">
        <w:rPr>
          <w:sz w:val="23"/>
          <w:szCs w:val="23"/>
        </w:rPr>
        <w:t>Upon completion of delivery of the material, t</w:t>
      </w:r>
      <w:r>
        <w:rPr>
          <w:sz w:val="23"/>
          <w:szCs w:val="23"/>
        </w:rPr>
        <w:t>he needle</w:t>
      </w:r>
      <w:r w:rsidR="003006E4">
        <w:rPr>
          <w:sz w:val="23"/>
          <w:szCs w:val="23"/>
        </w:rPr>
        <w:t xml:space="preserve"> is</w:t>
      </w:r>
      <w:r>
        <w:rPr>
          <w:sz w:val="23"/>
          <w:szCs w:val="23"/>
        </w:rPr>
        <w:t xml:space="preserve"> carefully </w:t>
      </w:r>
      <w:r w:rsidR="00920226">
        <w:rPr>
          <w:sz w:val="23"/>
          <w:szCs w:val="23"/>
        </w:rPr>
        <w:t>removed</w:t>
      </w:r>
      <w:r>
        <w:rPr>
          <w:sz w:val="23"/>
          <w:szCs w:val="23"/>
        </w:rPr>
        <w:t xml:space="preserve"> and the mouse returned to its cage.</w:t>
      </w:r>
      <w:r w:rsidR="00A34893">
        <w:rPr>
          <w:sz w:val="23"/>
          <w:szCs w:val="23"/>
        </w:rPr>
        <w:t xml:space="preserve"> </w:t>
      </w:r>
    </w:p>
    <w:p w14:paraId="2A443ECD" w14:textId="78B79735" w:rsidR="00C91D5A" w:rsidRDefault="005F365D" w:rsidP="0090070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Delivery of material is conducted at intervals and durations as described in the IACUC protocol.</w:t>
      </w:r>
      <w:r w:rsidR="00C91D5A">
        <w:rPr>
          <w:sz w:val="23"/>
          <w:szCs w:val="23"/>
        </w:rPr>
        <w:t xml:space="preserve"> </w:t>
      </w:r>
    </w:p>
    <w:p w14:paraId="3630BA2D" w14:textId="77777777" w:rsidR="000A3BB2" w:rsidRDefault="000A3BB2" w:rsidP="009D7A73">
      <w:pPr>
        <w:pStyle w:val="Default"/>
        <w:ind w:left="720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819"/>
        <w:gridCol w:w="3415"/>
      </w:tblGrid>
      <w:tr w:rsidR="001B3A45" w14:paraId="14B90256" w14:textId="77777777" w:rsidTr="003006E4">
        <w:tc>
          <w:tcPr>
            <w:tcW w:w="3116" w:type="dxa"/>
          </w:tcPr>
          <w:p w14:paraId="243033D8" w14:textId="3F3E973E" w:rsidR="001B3A45" w:rsidRDefault="000C2921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Weight</w:t>
            </w:r>
            <w:r w:rsidR="004E151B">
              <w:rPr>
                <w:sz w:val="23"/>
                <w:szCs w:val="23"/>
              </w:rPr>
              <w:t xml:space="preserve"> ra</w:t>
            </w:r>
            <w:r w:rsidR="00B90CEE">
              <w:rPr>
                <w:sz w:val="23"/>
                <w:szCs w:val="23"/>
              </w:rPr>
              <w:t>n</w:t>
            </w:r>
            <w:r w:rsidR="004E151B">
              <w:rPr>
                <w:sz w:val="23"/>
                <w:szCs w:val="23"/>
              </w:rPr>
              <w:t>ge (g)</w:t>
            </w:r>
          </w:p>
        </w:tc>
        <w:tc>
          <w:tcPr>
            <w:tcW w:w="2819" w:type="dxa"/>
          </w:tcPr>
          <w:p w14:paraId="6841B09F" w14:textId="18D1DE3E" w:rsidR="001B3A45" w:rsidRDefault="003006E4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Needle </w:t>
            </w:r>
            <w:r w:rsidR="004E151B">
              <w:rPr>
                <w:sz w:val="23"/>
                <w:szCs w:val="23"/>
              </w:rPr>
              <w:t>Gauge</w:t>
            </w:r>
          </w:p>
        </w:tc>
        <w:tc>
          <w:tcPr>
            <w:tcW w:w="3415" w:type="dxa"/>
          </w:tcPr>
          <w:p w14:paraId="3B21A4B8" w14:textId="2D71DE61" w:rsidR="001B3A45" w:rsidRDefault="003006E4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Needle </w:t>
            </w:r>
            <w:r w:rsidR="004E151B">
              <w:rPr>
                <w:sz w:val="23"/>
                <w:szCs w:val="23"/>
              </w:rPr>
              <w:t>Length (inches)</w:t>
            </w:r>
          </w:p>
        </w:tc>
      </w:tr>
      <w:tr w:rsidR="001B3A45" w14:paraId="61D6C8AF" w14:textId="77777777" w:rsidTr="003006E4">
        <w:tc>
          <w:tcPr>
            <w:tcW w:w="3116" w:type="dxa"/>
          </w:tcPr>
          <w:p w14:paraId="189B4867" w14:textId="45EBC53D" w:rsidR="001B3A45" w:rsidRDefault="004E151B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15-20 </w:t>
            </w:r>
          </w:p>
        </w:tc>
        <w:tc>
          <w:tcPr>
            <w:tcW w:w="2819" w:type="dxa"/>
          </w:tcPr>
          <w:p w14:paraId="183562E0" w14:textId="2BC869D1" w:rsidR="001B3A45" w:rsidRDefault="009E4E73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3415" w:type="dxa"/>
          </w:tcPr>
          <w:p w14:paraId="531EDB7A" w14:textId="66F31E91" w:rsidR="001B3A45" w:rsidRDefault="009E4E73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F607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1.5</w:t>
            </w:r>
          </w:p>
        </w:tc>
      </w:tr>
      <w:tr w:rsidR="001B3A45" w14:paraId="14CA9A0A" w14:textId="77777777" w:rsidTr="003006E4">
        <w:tc>
          <w:tcPr>
            <w:tcW w:w="3116" w:type="dxa"/>
          </w:tcPr>
          <w:p w14:paraId="07DDDAF6" w14:textId="7009EB49" w:rsidR="001B3A45" w:rsidRDefault="009E4E73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20-25 </w:t>
            </w:r>
          </w:p>
        </w:tc>
        <w:tc>
          <w:tcPr>
            <w:tcW w:w="2819" w:type="dxa"/>
          </w:tcPr>
          <w:p w14:paraId="6525CCBB" w14:textId="1AE3EE9B" w:rsidR="001B3A45" w:rsidRDefault="005D2687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22-20</w:t>
            </w:r>
          </w:p>
        </w:tc>
        <w:tc>
          <w:tcPr>
            <w:tcW w:w="3415" w:type="dxa"/>
          </w:tcPr>
          <w:p w14:paraId="762C1911" w14:textId="1AA9426D" w:rsidR="001B3A45" w:rsidRDefault="009E4E73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F607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1.5</w:t>
            </w:r>
          </w:p>
        </w:tc>
      </w:tr>
      <w:tr w:rsidR="001B3A45" w14:paraId="0F09F3EF" w14:textId="77777777" w:rsidTr="003006E4">
        <w:tc>
          <w:tcPr>
            <w:tcW w:w="3116" w:type="dxa"/>
          </w:tcPr>
          <w:p w14:paraId="3B8424A9" w14:textId="5AF34A40" w:rsidR="001B3A45" w:rsidRDefault="005D2687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25-30 </w:t>
            </w:r>
          </w:p>
        </w:tc>
        <w:tc>
          <w:tcPr>
            <w:tcW w:w="2819" w:type="dxa"/>
          </w:tcPr>
          <w:p w14:paraId="577F359E" w14:textId="763046BF" w:rsidR="001B3A45" w:rsidRDefault="009E4A97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415" w:type="dxa"/>
          </w:tcPr>
          <w:p w14:paraId="4638E084" w14:textId="52F2EDC5" w:rsidR="001B3A45" w:rsidRDefault="002B19B4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</w:t>
            </w:r>
            <w:r w:rsidR="000F6073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2</w:t>
            </w:r>
          </w:p>
        </w:tc>
      </w:tr>
      <w:tr w:rsidR="001B3A45" w14:paraId="4ADCCF2A" w14:textId="77777777" w:rsidTr="003006E4">
        <w:tc>
          <w:tcPr>
            <w:tcW w:w="3116" w:type="dxa"/>
          </w:tcPr>
          <w:p w14:paraId="0BDFD259" w14:textId="6B5E09F4" w:rsidR="001B3A45" w:rsidRDefault="002B19B4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30-35</w:t>
            </w:r>
          </w:p>
        </w:tc>
        <w:tc>
          <w:tcPr>
            <w:tcW w:w="2819" w:type="dxa"/>
          </w:tcPr>
          <w:p w14:paraId="24954E7D" w14:textId="051FE444" w:rsidR="001B3A45" w:rsidRDefault="002B19B4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20-18</w:t>
            </w:r>
          </w:p>
        </w:tc>
        <w:tc>
          <w:tcPr>
            <w:tcW w:w="3415" w:type="dxa"/>
          </w:tcPr>
          <w:p w14:paraId="0EF0E70E" w14:textId="0FCA4965" w:rsidR="001B3A45" w:rsidRDefault="002B19B4" w:rsidP="001B3A4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</w:tbl>
    <w:p w14:paraId="2A055939" w14:textId="71519EF5" w:rsidR="0052712E" w:rsidRDefault="0052712E" w:rsidP="0052712E">
      <w:pPr>
        <w:pStyle w:val="Default"/>
        <w:ind w:left="360"/>
        <w:rPr>
          <w:sz w:val="23"/>
          <w:szCs w:val="23"/>
        </w:rPr>
      </w:pPr>
    </w:p>
    <w:p w14:paraId="6FB50CB8" w14:textId="698BE7F0" w:rsidR="005856B7" w:rsidRDefault="005856B7" w:rsidP="00900702">
      <w:pPr>
        <w:pStyle w:val="Default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 wp14:anchorId="0AA0C967" wp14:editId="782A7FAB">
            <wp:extent cx="2225040" cy="2426335"/>
            <wp:effectExtent l="0" t="0" r="3810" b="0"/>
            <wp:docPr id="1504804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160D">
        <w:rPr>
          <w:b/>
          <w:noProof/>
          <w:sz w:val="23"/>
          <w:szCs w:val="23"/>
        </w:rPr>
        <w:drawing>
          <wp:inline distT="0" distB="0" distL="0" distR="0" wp14:anchorId="2EC706C2" wp14:editId="543DFFD1">
            <wp:extent cx="3121660" cy="2298700"/>
            <wp:effectExtent l="0" t="0" r="2540" b="6350"/>
            <wp:docPr id="1804141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E6440" w14:textId="62BFF429" w:rsidR="00F7160D" w:rsidRPr="009757A4" w:rsidRDefault="00F7160D" w:rsidP="00F7160D">
      <w:pPr>
        <w:pStyle w:val="Default"/>
        <w:ind w:left="-243"/>
        <w:rPr>
          <w:b/>
          <w:bCs/>
          <w:sz w:val="18"/>
          <w:szCs w:val="18"/>
        </w:rPr>
      </w:pPr>
      <w:r>
        <w:rPr>
          <w:noProof/>
        </w:rPr>
        <w:t xml:space="preserve">        </w:t>
      </w:r>
      <w:r w:rsidRPr="009757A4">
        <w:rPr>
          <w:b/>
          <w:bCs/>
          <w:sz w:val="18"/>
          <w:szCs w:val="18"/>
        </w:rPr>
        <w:t>* The needle size here is 20-22g x 1.5 inch</w:t>
      </w:r>
    </w:p>
    <w:p w14:paraId="4714CE7F" w14:textId="77777777" w:rsidR="005856B7" w:rsidRDefault="005856B7" w:rsidP="00900702">
      <w:pPr>
        <w:pStyle w:val="Default"/>
        <w:rPr>
          <w:b/>
          <w:sz w:val="23"/>
          <w:szCs w:val="23"/>
        </w:rPr>
      </w:pPr>
    </w:p>
    <w:p w14:paraId="71C28A21" w14:textId="63BC3A48" w:rsidR="00900702" w:rsidRDefault="00900702" w:rsidP="00900702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Rat</w:t>
      </w:r>
    </w:p>
    <w:p w14:paraId="7C1D3573" w14:textId="53132E00" w:rsidR="00A93F68" w:rsidRPr="008256ED" w:rsidRDefault="00A93F68" w:rsidP="008256ED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An appropriately sized gavage needle is attached to 1-3ml syringe. Needle </w:t>
      </w:r>
      <w:r w:rsidR="003006E4">
        <w:rPr>
          <w:sz w:val="23"/>
          <w:szCs w:val="23"/>
        </w:rPr>
        <w:t xml:space="preserve">gauge </w:t>
      </w:r>
      <w:r>
        <w:rPr>
          <w:sz w:val="23"/>
          <w:szCs w:val="23"/>
        </w:rPr>
        <w:t xml:space="preserve">size for a rat should be 15-18g with the length depending on the size of the rat. A proper measurement is made by measuring from the corner of the mouth to just past the rib cage (Figure a). </w:t>
      </w:r>
      <w:r w:rsidR="008256ED">
        <w:rPr>
          <w:sz w:val="23"/>
          <w:szCs w:val="23"/>
        </w:rPr>
        <w:t xml:space="preserve">For an average-sized </w:t>
      </w:r>
      <w:r w:rsidR="00623CBF">
        <w:rPr>
          <w:sz w:val="23"/>
          <w:szCs w:val="23"/>
        </w:rPr>
        <w:t>adult rat</w:t>
      </w:r>
      <w:r w:rsidR="008256ED">
        <w:rPr>
          <w:sz w:val="23"/>
          <w:szCs w:val="23"/>
        </w:rPr>
        <w:t>,</w:t>
      </w:r>
      <w:r w:rsidR="00623CBF">
        <w:rPr>
          <w:sz w:val="23"/>
          <w:szCs w:val="23"/>
        </w:rPr>
        <w:t xml:space="preserve"> the hub of a </w:t>
      </w:r>
      <w:r w:rsidR="00B75CF0">
        <w:rPr>
          <w:sz w:val="23"/>
          <w:szCs w:val="23"/>
        </w:rPr>
        <w:t>3-inch</w:t>
      </w:r>
      <w:r w:rsidR="00F11B3D">
        <w:rPr>
          <w:sz w:val="23"/>
          <w:szCs w:val="23"/>
        </w:rPr>
        <w:t xml:space="preserve"> gavage needle</w:t>
      </w:r>
      <w:r w:rsidR="008256ED" w:rsidRPr="008256ED">
        <w:rPr>
          <w:sz w:val="23"/>
          <w:szCs w:val="23"/>
        </w:rPr>
        <w:t xml:space="preserve"> </w:t>
      </w:r>
      <w:r w:rsidR="008256ED">
        <w:rPr>
          <w:sz w:val="23"/>
          <w:szCs w:val="23"/>
        </w:rPr>
        <w:t xml:space="preserve">should line up with the corner of the mouse’s mouth. While measuring, if the hub of the gavage needle </w:t>
      </w:r>
      <w:r w:rsidR="008256ED">
        <w:rPr>
          <w:sz w:val="23"/>
          <w:szCs w:val="23"/>
        </w:rPr>
        <w:lastRenderedPageBreak/>
        <w:t xml:space="preserve">extends past the mouth when the ball end is at the lower limit of the rib cage, place a Sharpie mark on the needle where the corner of the mouth is. This mark will indicate the stopping point when inserting the gavage needle down the esophagus. </w:t>
      </w:r>
    </w:p>
    <w:p w14:paraId="4F39FD30" w14:textId="21D88700" w:rsidR="00900702" w:rsidRPr="0052712E" w:rsidRDefault="00900702" w:rsidP="00900702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52712E">
        <w:rPr>
          <w:sz w:val="23"/>
          <w:szCs w:val="23"/>
        </w:rPr>
        <w:t xml:space="preserve">The rat is restrained by wrapping it in a towel and </w:t>
      </w:r>
      <w:r w:rsidR="008E084C">
        <w:rPr>
          <w:sz w:val="23"/>
          <w:szCs w:val="23"/>
        </w:rPr>
        <w:t xml:space="preserve">gently </w:t>
      </w:r>
      <w:r w:rsidRPr="0052712E">
        <w:rPr>
          <w:sz w:val="23"/>
          <w:szCs w:val="23"/>
        </w:rPr>
        <w:t>holding the temporomandibular joint to control head movement.</w:t>
      </w:r>
    </w:p>
    <w:p w14:paraId="7EB2F52C" w14:textId="1E8705CD" w:rsidR="00900702" w:rsidRDefault="00900702" w:rsidP="0090070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The gavage needle is </w:t>
      </w:r>
      <w:r w:rsidR="008E084C">
        <w:rPr>
          <w:sz w:val="23"/>
          <w:szCs w:val="23"/>
        </w:rPr>
        <w:t xml:space="preserve">carefully </w:t>
      </w:r>
      <w:r>
        <w:rPr>
          <w:sz w:val="23"/>
          <w:szCs w:val="23"/>
        </w:rPr>
        <w:t xml:space="preserve">and slowly passed down the esophagus until the </w:t>
      </w:r>
      <w:r w:rsidR="008E084C">
        <w:rPr>
          <w:sz w:val="23"/>
          <w:szCs w:val="23"/>
        </w:rPr>
        <w:t xml:space="preserve">hub or </w:t>
      </w:r>
      <w:r>
        <w:rPr>
          <w:sz w:val="23"/>
          <w:szCs w:val="23"/>
        </w:rPr>
        <w:t xml:space="preserve">mark on the needle reaches the </w:t>
      </w:r>
      <w:r w:rsidR="008E084C">
        <w:rPr>
          <w:sz w:val="23"/>
          <w:szCs w:val="23"/>
        </w:rPr>
        <w:t xml:space="preserve">corner of the </w:t>
      </w:r>
      <w:r>
        <w:rPr>
          <w:sz w:val="23"/>
          <w:szCs w:val="23"/>
        </w:rPr>
        <w:t xml:space="preserve">rat’s </w:t>
      </w:r>
      <w:r w:rsidR="008E084C">
        <w:rPr>
          <w:sz w:val="23"/>
          <w:szCs w:val="23"/>
        </w:rPr>
        <w:t>mouth</w:t>
      </w:r>
      <w:r>
        <w:rPr>
          <w:sz w:val="23"/>
          <w:szCs w:val="23"/>
        </w:rPr>
        <w:t xml:space="preserve">. If resistance is noted while being inserted, the gavage needle is retracted and repositioned. </w:t>
      </w:r>
      <w:r w:rsidR="008E084C">
        <w:rPr>
          <w:sz w:val="23"/>
          <w:szCs w:val="23"/>
        </w:rPr>
        <w:t>Delivery v</w:t>
      </w:r>
      <w:r>
        <w:rPr>
          <w:sz w:val="23"/>
          <w:szCs w:val="23"/>
        </w:rPr>
        <w:t>olume should not exceed 2ml.</w:t>
      </w:r>
    </w:p>
    <w:p w14:paraId="327497EA" w14:textId="1881436B" w:rsidR="00900702" w:rsidRDefault="00900702" w:rsidP="0090070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Once the needle is properly positioned, the material is slowly administered while the rat is m</w:t>
      </w:r>
      <w:r w:rsidRPr="00C91D5A">
        <w:rPr>
          <w:sz w:val="23"/>
          <w:szCs w:val="23"/>
        </w:rPr>
        <w:t>onitor</w:t>
      </w:r>
      <w:r>
        <w:rPr>
          <w:sz w:val="23"/>
          <w:szCs w:val="23"/>
        </w:rPr>
        <w:t>ed</w:t>
      </w:r>
      <w:r w:rsidRPr="00C91D5A">
        <w:rPr>
          <w:sz w:val="23"/>
          <w:szCs w:val="23"/>
        </w:rPr>
        <w:t xml:space="preserve"> for signs of distress </w:t>
      </w:r>
      <w:r>
        <w:rPr>
          <w:sz w:val="23"/>
          <w:szCs w:val="23"/>
        </w:rPr>
        <w:t>(</w:t>
      </w:r>
      <w:r w:rsidRPr="00C91D5A">
        <w:rPr>
          <w:sz w:val="23"/>
          <w:szCs w:val="23"/>
        </w:rPr>
        <w:t xml:space="preserve">as </w:t>
      </w:r>
      <w:r>
        <w:rPr>
          <w:sz w:val="23"/>
          <w:szCs w:val="23"/>
        </w:rPr>
        <w:t xml:space="preserve">described </w:t>
      </w:r>
      <w:r w:rsidRPr="00C91D5A">
        <w:rPr>
          <w:sz w:val="23"/>
          <w:szCs w:val="23"/>
        </w:rPr>
        <w:t>above</w:t>
      </w:r>
      <w:r>
        <w:rPr>
          <w:sz w:val="23"/>
          <w:szCs w:val="23"/>
        </w:rPr>
        <w:t>) or the emergence of</w:t>
      </w:r>
      <w:r w:rsidRPr="00C91D5A">
        <w:rPr>
          <w:sz w:val="23"/>
          <w:szCs w:val="23"/>
        </w:rPr>
        <w:t xml:space="preserve"> fluid from the nostrils. </w:t>
      </w:r>
      <w:r>
        <w:rPr>
          <w:sz w:val="23"/>
          <w:szCs w:val="23"/>
        </w:rPr>
        <w:t>The needle can then be carefully removed and the rat returned to its cage.</w:t>
      </w:r>
    </w:p>
    <w:p w14:paraId="70A1FB29" w14:textId="6D5459D4" w:rsidR="00900702" w:rsidRDefault="00900702" w:rsidP="00900702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954845">
        <w:rPr>
          <w:sz w:val="23"/>
          <w:szCs w:val="23"/>
        </w:rPr>
        <w:t xml:space="preserve">Delivery of material is conducted at intervals and durations as described in the IACUC protocol. </w:t>
      </w:r>
    </w:p>
    <w:p w14:paraId="58070BE8" w14:textId="77777777" w:rsidR="008E084C" w:rsidRDefault="008E084C" w:rsidP="008E084C">
      <w:pPr>
        <w:pStyle w:val="Default"/>
        <w:ind w:left="720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90CEE" w14:paraId="46130ADF" w14:textId="77777777" w:rsidTr="00D03289">
        <w:tc>
          <w:tcPr>
            <w:tcW w:w="3116" w:type="dxa"/>
          </w:tcPr>
          <w:p w14:paraId="126B314E" w14:textId="53AEF630" w:rsidR="00B90CEE" w:rsidRDefault="00B90CEE" w:rsidP="00B90C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Weight range (g)</w:t>
            </w:r>
          </w:p>
        </w:tc>
        <w:tc>
          <w:tcPr>
            <w:tcW w:w="3117" w:type="dxa"/>
          </w:tcPr>
          <w:p w14:paraId="354F4904" w14:textId="04107D72" w:rsidR="00B90CEE" w:rsidRDefault="008E084C" w:rsidP="00B90C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Needle </w:t>
            </w:r>
            <w:r w:rsidR="00B90CEE">
              <w:rPr>
                <w:sz w:val="23"/>
                <w:szCs w:val="23"/>
              </w:rPr>
              <w:t>Gauge</w:t>
            </w:r>
          </w:p>
        </w:tc>
        <w:tc>
          <w:tcPr>
            <w:tcW w:w="3117" w:type="dxa"/>
          </w:tcPr>
          <w:p w14:paraId="3DB0E376" w14:textId="32BCFA67" w:rsidR="00B90CEE" w:rsidRDefault="008E084C" w:rsidP="00B90C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Needle </w:t>
            </w:r>
            <w:r w:rsidR="00B90CEE">
              <w:rPr>
                <w:sz w:val="23"/>
                <w:szCs w:val="23"/>
              </w:rPr>
              <w:t>Length (inches)</w:t>
            </w:r>
          </w:p>
        </w:tc>
      </w:tr>
      <w:tr w:rsidR="00843592" w14:paraId="7190C5AD" w14:textId="77777777" w:rsidTr="00D03289">
        <w:tc>
          <w:tcPr>
            <w:tcW w:w="3116" w:type="dxa"/>
          </w:tcPr>
          <w:p w14:paraId="750BF671" w14:textId="2E3900A7" w:rsidR="00843592" w:rsidRDefault="00843592" w:rsidP="00B90C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50-75</w:t>
            </w:r>
          </w:p>
        </w:tc>
        <w:tc>
          <w:tcPr>
            <w:tcW w:w="3117" w:type="dxa"/>
          </w:tcPr>
          <w:p w14:paraId="66FA5186" w14:textId="72B912CC" w:rsidR="00843592" w:rsidRDefault="00843592" w:rsidP="00B90C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117" w:type="dxa"/>
          </w:tcPr>
          <w:p w14:paraId="2C1660EA" w14:textId="2521E58F" w:rsidR="00843592" w:rsidRDefault="00843592" w:rsidP="00B90C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1-1.5</w:t>
            </w:r>
          </w:p>
        </w:tc>
      </w:tr>
      <w:tr w:rsidR="00843592" w14:paraId="1F763E73" w14:textId="77777777" w:rsidTr="00D03289">
        <w:tc>
          <w:tcPr>
            <w:tcW w:w="3116" w:type="dxa"/>
          </w:tcPr>
          <w:p w14:paraId="6394E128" w14:textId="1B317AC1" w:rsidR="00843592" w:rsidRDefault="00843592" w:rsidP="00843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75-100</w:t>
            </w:r>
          </w:p>
        </w:tc>
        <w:tc>
          <w:tcPr>
            <w:tcW w:w="3117" w:type="dxa"/>
          </w:tcPr>
          <w:p w14:paraId="618E94B2" w14:textId="2ED6A26C" w:rsidR="00843592" w:rsidRDefault="00843592" w:rsidP="00843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117" w:type="dxa"/>
          </w:tcPr>
          <w:p w14:paraId="35EB5059" w14:textId="535DF62D" w:rsidR="00843592" w:rsidRDefault="00843592" w:rsidP="00843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1-1.5</w:t>
            </w:r>
          </w:p>
        </w:tc>
      </w:tr>
      <w:tr w:rsidR="00843592" w14:paraId="06BD0D23" w14:textId="77777777" w:rsidTr="00D03289">
        <w:tc>
          <w:tcPr>
            <w:tcW w:w="3116" w:type="dxa"/>
          </w:tcPr>
          <w:p w14:paraId="16468CA2" w14:textId="34E3C3EB" w:rsidR="00843592" w:rsidRDefault="00843592" w:rsidP="00843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100-200</w:t>
            </w:r>
          </w:p>
        </w:tc>
        <w:tc>
          <w:tcPr>
            <w:tcW w:w="3117" w:type="dxa"/>
          </w:tcPr>
          <w:p w14:paraId="2B8DE7F0" w14:textId="2D858552" w:rsidR="00843592" w:rsidRDefault="00843592" w:rsidP="00843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3117" w:type="dxa"/>
          </w:tcPr>
          <w:p w14:paraId="7E07A7CB" w14:textId="56BA0A0B" w:rsidR="00843592" w:rsidRDefault="00843592" w:rsidP="00843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2-3</w:t>
            </w:r>
          </w:p>
        </w:tc>
      </w:tr>
      <w:tr w:rsidR="00843592" w14:paraId="70819ABE" w14:textId="77777777" w:rsidTr="00D03289">
        <w:tc>
          <w:tcPr>
            <w:tcW w:w="3116" w:type="dxa"/>
          </w:tcPr>
          <w:p w14:paraId="1DADAAE5" w14:textId="636B7B90" w:rsidR="00843592" w:rsidRDefault="00843592" w:rsidP="00843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200-300</w:t>
            </w:r>
          </w:p>
        </w:tc>
        <w:tc>
          <w:tcPr>
            <w:tcW w:w="3117" w:type="dxa"/>
          </w:tcPr>
          <w:p w14:paraId="2A81C8FE" w14:textId="32666959" w:rsidR="00843592" w:rsidRDefault="00843592" w:rsidP="00843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3117" w:type="dxa"/>
          </w:tcPr>
          <w:p w14:paraId="50087BC8" w14:textId="3A201ED7" w:rsidR="00843592" w:rsidRDefault="00843592" w:rsidP="008435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3-4</w:t>
            </w:r>
          </w:p>
        </w:tc>
      </w:tr>
    </w:tbl>
    <w:p w14:paraId="0D5456D6" w14:textId="210FB8EC" w:rsidR="0052712E" w:rsidRDefault="0052712E" w:rsidP="0052712E">
      <w:pPr>
        <w:pStyle w:val="Default"/>
        <w:ind w:left="360"/>
        <w:rPr>
          <w:b/>
          <w:sz w:val="23"/>
          <w:szCs w:val="23"/>
        </w:rPr>
      </w:pPr>
    </w:p>
    <w:p w14:paraId="733606E1" w14:textId="7B655B02" w:rsidR="0000008F" w:rsidRDefault="0000008F" w:rsidP="0052712E">
      <w:pPr>
        <w:pStyle w:val="Default"/>
        <w:ind w:left="360"/>
        <w:rPr>
          <w:b/>
          <w:sz w:val="23"/>
          <w:szCs w:val="23"/>
        </w:rPr>
      </w:pPr>
    </w:p>
    <w:p w14:paraId="2CEAE5A6" w14:textId="2DDB5749" w:rsidR="0000008F" w:rsidRDefault="0000008F" w:rsidP="0000008F">
      <w:pPr>
        <w:pStyle w:val="Default"/>
        <w:rPr>
          <w:b/>
          <w:bCs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Oral</w:t>
      </w:r>
      <w:r>
        <w:rPr>
          <w:b/>
          <w:bCs/>
          <w:iCs/>
          <w:sz w:val="23"/>
          <w:szCs w:val="23"/>
        </w:rPr>
        <w:t xml:space="preserve"> </w:t>
      </w:r>
      <w:r>
        <w:rPr>
          <w:b/>
          <w:bCs/>
          <w:i/>
          <w:sz w:val="23"/>
          <w:szCs w:val="23"/>
        </w:rPr>
        <w:t>Administration</w:t>
      </w:r>
      <w:r w:rsidR="000A3BB2">
        <w:rPr>
          <w:b/>
          <w:bCs/>
          <w:i/>
          <w:sz w:val="23"/>
          <w:szCs w:val="23"/>
        </w:rPr>
        <w:t xml:space="preserve"> – a.k.a. delivery of material into the mouth</w:t>
      </w:r>
    </w:p>
    <w:p w14:paraId="4A78E2AD" w14:textId="77777777" w:rsidR="0000008F" w:rsidRPr="00042ED1" w:rsidRDefault="0000008F" w:rsidP="0000008F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Mouse</w:t>
      </w:r>
    </w:p>
    <w:p w14:paraId="1A9CEABB" w14:textId="5BFCAC03" w:rsidR="0000008F" w:rsidRDefault="0000008F" w:rsidP="0080594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The mouse is restrained in a vertical (i.e., head up) position by holding the mouse by the scruff. </w:t>
      </w:r>
    </w:p>
    <w:p w14:paraId="5EFF49D4" w14:textId="21650E9E" w:rsidR="0000008F" w:rsidRDefault="0000008F" w:rsidP="0080594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5-25µl</w:t>
      </w:r>
      <w:r w:rsidR="000A3BB2">
        <w:rPr>
          <w:sz w:val="23"/>
          <w:szCs w:val="23"/>
        </w:rPr>
        <w:t xml:space="preserve"> of material</w:t>
      </w:r>
      <w:r>
        <w:rPr>
          <w:sz w:val="23"/>
          <w:szCs w:val="23"/>
        </w:rPr>
        <w:t xml:space="preserve"> is slowly dripped into the mouse’s mouth</w:t>
      </w:r>
      <w:r w:rsidR="004E0FEB">
        <w:rPr>
          <w:sz w:val="23"/>
          <w:szCs w:val="23"/>
        </w:rPr>
        <w:t xml:space="preserve"> using a mechanical pipette</w:t>
      </w:r>
      <w:r>
        <w:rPr>
          <w:sz w:val="23"/>
          <w:szCs w:val="23"/>
        </w:rPr>
        <w:t xml:space="preserve">, allowing time for the animal to swallow each drop. </w:t>
      </w:r>
      <w:r w:rsidR="000A3BB2">
        <w:rPr>
          <w:sz w:val="23"/>
          <w:szCs w:val="23"/>
        </w:rPr>
        <w:t>After delivery, t</w:t>
      </w:r>
      <w:r>
        <w:rPr>
          <w:sz w:val="23"/>
          <w:szCs w:val="23"/>
        </w:rPr>
        <w:t>he animal should be held for approximately 20 additional seconds to ensure that the material is consumed.</w:t>
      </w:r>
      <w:r w:rsidR="00493FF5">
        <w:rPr>
          <w:sz w:val="23"/>
          <w:szCs w:val="23"/>
        </w:rPr>
        <w:t xml:space="preserve"> </w:t>
      </w:r>
    </w:p>
    <w:p w14:paraId="7EE5C320" w14:textId="4BECC97C" w:rsidR="002C4E89" w:rsidRDefault="00A97BAB" w:rsidP="00F7160D">
      <w:pPr>
        <w:pStyle w:val="Default"/>
        <w:numPr>
          <w:ilvl w:val="1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The pipette tip should not enter the mouth to avoi</w:t>
      </w:r>
      <w:r w:rsidR="003C3624">
        <w:rPr>
          <w:sz w:val="23"/>
          <w:szCs w:val="23"/>
        </w:rPr>
        <w:t>d potential damage</w:t>
      </w:r>
      <w:r w:rsidR="00714910">
        <w:rPr>
          <w:sz w:val="23"/>
          <w:szCs w:val="23"/>
        </w:rPr>
        <w:t>.</w:t>
      </w:r>
    </w:p>
    <w:p w14:paraId="02C03D69" w14:textId="77777777" w:rsidR="0000008F" w:rsidRDefault="0000008F" w:rsidP="0080594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Delivery of material is conducted at intervals and durations as described in the IACUC protocol. </w:t>
      </w:r>
    </w:p>
    <w:p w14:paraId="24008E22" w14:textId="77777777" w:rsidR="0000008F" w:rsidRDefault="0000008F" w:rsidP="0000008F">
      <w:pPr>
        <w:pStyle w:val="Default"/>
        <w:ind w:left="360"/>
        <w:rPr>
          <w:sz w:val="23"/>
          <w:szCs w:val="23"/>
        </w:rPr>
      </w:pPr>
    </w:p>
    <w:p w14:paraId="44596F8B" w14:textId="77777777" w:rsidR="0000008F" w:rsidRDefault="0000008F" w:rsidP="0000008F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Rat</w:t>
      </w:r>
    </w:p>
    <w:p w14:paraId="3618F306" w14:textId="368A0A02" w:rsidR="0000008F" w:rsidRPr="0052712E" w:rsidRDefault="0000008F" w:rsidP="00805947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52712E">
        <w:rPr>
          <w:sz w:val="23"/>
          <w:szCs w:val="23"/>
        </w:rPr>
        <w:t xml:space="preserve">The rat is restrained by wrapping it in a towel and </w:t>
      </w:r>
      <w:r w:rsidR="000A3BB2">
        <w:rPr>
          <w:sz w:val="23"/>
          <w:szCs w:val="23"/>
        </w:rPr>
        <w:t xml:space="preserve">gently </w:t>
      </w:r>
      <w:r w:rsidRPr="0052712E">
        <w:rPr>
          <w:sz w:val="23"/>
          <w:szCs w:val="23"/>
        </w:rPr>
        <w:t>holding the temporomandibular joint to control head movement.</w:t>
      </w:r>
    </w:p>
    <w:p w14:paraId="19A79BB4" w14:textId="1FAD9F50" w:rsidR="0000008F" w:rsidRDefault="0000008F" w:rsidP="00805947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954845">
        <w:rPr>
          <w:sz w:val="23"/>
          <w:szCs w:val="23"/>
        </w:rPr>
        <w:t>5-</w:t>
      </w:r>
      <w:r w:rsidR="00AD2623">
        <w:rPr>
          <w:sz w:val="23"/>
          <w:szCs w:val="23"/>
        </w:rPr>
        <w:t>100</w:t>
      </w:r>
      <w:r w:rsidRPr="00954845">
        <w:rPr>
          <w:sz w:val="23"/>
          <w:szCs w:val="23"/>
        </w:rPr>
        <w:t>µl is slowly dripped into the rat’s mouth</w:t>
      </w:r>
      <w:r w:rsidR="00933FAE">
        <w:rPr>
          <w:sz w:val="23"/>
          <w:szCs w:val="23"/>
        </w:rPr>
        <w:t xml:space="preserve"> using a mechanical pipette</w:t>
      </w:r>
      <w:r w:rsidRPr="00954845">
        <w:rPr>
          <w:sz w:val="23"/>
          <w:szCs w:val="23"/>
        </w:rPr>
        <w:t xml:space="preserve">, allowing time for the animal to swallow each drop. </w:t>
      </w:r>
      <w:r w:rsidR="000A3BB2">
        <w:rPr>
          <w:sz w:val="23"/>
          <w:szCs w:val="23"/>
        </w:rPr>
        <w:t>After delivery, t</w:t>
      </w:r>
      <w:r w:rsidRPr="00954845">
        <w:rPr>
          <w:sz w:val="23"/>
          <w:szCs w:val="23"/>
        </w:rPr>
        <w:t>he animal should be held for approximately 20 additional seconds to ensure that the material is consumed.</w:t>
      </w:r>
    </w:p>
    <w:p w14:paraId="34BD22C5" w14:textId="59EE15CA" w:rsidR="003C3624" w:rsidRDefault="003C3624" w:rsidP="00F7160D">
      <w:pPr>
        <w:pStyle w:val="Default"/>
        <w:numPr>
          <w:ilvl w:val="1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The pipette tip should not enter the mouth to avoid potential damage.</w:t>
      </w:r>
    </w:p>
    <w:p w14:paraId="7A61527C" w14:textId="2784AD89" w:rsidR="0000008F" w:rsidRPr="000A3BB2" w:rsidRDefault="0000008F" w:rsidP="00F7160D">
      <w:pPr>
        <w:pStyle w:val="Default"/>
        <w:numPr>
          <w:ilvl w:val="0"/>
          <w:numId w:val="10"/>
        </w:numPr>
        <w:rPr>
          <w:b/>
          <w:sz w:val="23"/>
          <w:szCs w:val="23"/>
        </w:rPr>
      </w:pPr>
      <w:r w:rsidRPr="000A3BB2">
        <w:rPr>
          <w:sz w:val="23"/>
          <w:szCs w:val="23"/>
        </w:rPr>
        <w:t xml:space="preserve">Delivery of material is conducted at intervals and durations as described in the IACUC protocol. </w:t>
      </w:r>
    </w:p>
    <w:p w14:paraId="34591077" w14:textId="7F693FED" w:rsidR="008E084C" w:rsidRDefault="008E084C" w:rsidP="00C91D5A">
      <w:pPr>
        <w:pStyle w:val="Default"/>
        <w:rPr>
          <w:b/>
          <w:bCs/>
          <w:sz w:val="23"/>
          <w:szCs w:val="23"/>
        </w:rPr>
      </w:pPr>
    </w:p>
    <w:p w14:paraId="03C6674E" w14:textId="77777777" w:rsidR="008E084C" w:rsidRDefault="008E084C" w:rsidP="00C91D5A">
      <w:pPr>
        <w:pStyle w:val="Default"/>
        <w:rPr>
          <w:b/>
          <w:bCs/>
          <w:sz w:val="23"/>
          <w:szCs w:val="23"/>
        </w:rPr>
      </w:pPr>
    </w:p>
    <w:p w14:paraId="6AEBFA63" w14:textId="59E75278" w:rsidR="001138E4" w:rsidRDefault="001138E4" w:rsidP="00C91D5A">
      <w:pPr>
        <w:pStyle w:val="Default"/>
        <w:rPr>
          <w:b/>
          <w:bCs/>
          <w:sz w:val="23"/>
          <w:szCs w:val="23"/>
        </w:rPr>
      </w:pPr>
    </w:p>
    <w:p w14:paraId="1CFF853D" w14:textId="16C792F7" w:rsidR="002B7F59" w:rsidRDefault="002B7F59"/>
    <w:sectPr w:rsidR="002B7F59" w:rsidSect="008E084C">
      <w:footerReference w:type="default" r:id="rId12"/>
      <w:pgSz w:w="12240" w:h="16340"/>
      <w:pgMar w:top="720" w:right="1440" w:bottom="12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C5E6" w14:textId="77777777" w:rsidR="007566E6" w:rsidRDefault="007566E6" w:rsidP="00D140D0">
      <w:pPr>
        <w:spacing w:after="0" w:line="240" w:lineRule="auto"/>
      </w:pPr>
      <w:r>
        <w:separator/>
      </w:r>
    </w:p>
  </w:endnote>
  <w:endnote w:type="continuationSeparator" w:id="0">
    <w:p w14:paraId="0730F032" w14:textId="77777777" w:rsidR="007566E6" w:rsidRDefault="007566E6" w:rsidP="00D1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3606F" w14:textId="5BBF9250" w:rsidR="000701EF" w:rsidRDefault="000701EF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>Updated 3/27/2025</w:t>
    </w:r>
  </w:p>
  <w:p w14:paraId="40E22292" w14:textId="05FCE615" w:rsidR="00D015BE" w:rsidRDefault="00D015BE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>Updated 3/24/2022</w:t>
    </w:r>
  </w:p>
  <w:p w14:paraId="5934A2DC" w14:textId="09384F14" w:rsidR="00D140D0" w:rsidRPr="00D140D0" w:rsidRDefault="00482FCA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>Updated 1/24/2019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8DA61" w14:textId="77777777" w:rsidR="007566E6" w:rsidRDefault="007566E6" w:rsidP="00D140D0">
      <w:pPr>
        <w:spacing w:after="0" w:line="240" w:lineRule="auto"/>
      </w:pPr>
      <w:r>
        <w:separator/>
      </w:r>
    </w:p>
  </w:footnote>
  <w:footnote w:type="continuationSeparator" w:id="0">
    <w:p w14:paraId="50D4DE56" w14:textId="77777777" w:rsidR="007566E6" w:rsidRDefault="007566E6" w:rsidP="00D1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D7A96"/>
    <w:multiLevelType w:val="hybridMultilevel"/>
    <w:tmpl w:val="D5001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0824"/>
    <w:multiLevelType w:val="hybridMultilevel"/>
    <w:tmpl w:val="980A3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F1471"/>
    <w:multiLevelType w:val="hybridMultilevel"/>
    <w:tmpl w:val="C0B2E73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3EA3CDD"/>
    <w:multiLevelType w:val="hybridMultilevel"/>
    <w:tmpl w:val="980A3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37ACD"/>
    <w:multiLevelType w:val="hybridMultilevel"/>
    <w:tmpl w:val="BD423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B4873"/>
    <w:multiLevelType w:val="hybridMultilevel"/>
    <w:tmpl w:val="980A3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934BE"/>
    <w:multiLevelType w:val="hybridMultilevel"/>
    <w:tmpl w:val="392E0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C7936"/>
    <w:multiLevelType w:val="hybridMultilevel"/>
    <w:tmpl w:val="980A3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5091F"/>
    <w:multiLevelType w:val="hybridMultilevel"/>
    <w:tmpl w:val="B54CA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01066">
    <w:abstractNumId w:val="2"/>
  </w:num>
  <w:num w:numId="2" w16cid:durableId="493373022">
    <w:abstractNumId w:val="8"/>
  </w:num>
  <w:num w:numId="3" w16cid:durableId="1459757250">
    <w:abstractNumId w:val="0"/>
  </w:num>
  <w:num w:numId="4" w16cid:durableId="142158920">
    <w:abstractNumId w:val="4"/>
  </w:num>
  <w:num w:numId="5" w16cid:durableId="1274823707">
    <w:abstractNumId w:val="7"/>
  </w:num>
  <w:num w:numId="6" w16cid:durableId="2093351885">
    <w:abstractNumId w:val="6"/>
  </w:num>
  <w:num w:numId="7" w16cid:durableId="1844588313">
    <w:abstractNumId w:val="1"/>
  </w:num>
  <w:num w:numId="8" w16cid:durableId="1680501991">
    <w:abstractNumId w:val="8"/>
  </w:num>
  <w:num w:numId="9" w16cid:durableId="1454134916">
    <w:abstractNumId w:val="5"/>
  </w:num>
  <w:num w:numId="10" w16cid:durableId="5242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24"/>
    <w:rsid w:val="0000008F"/>
    <w:rsid w:val="00006BE7"/>
    <w:rsid w:val="00042ED1"/>
    <w:rsid w:val="00044019"/>
    <w:rsid w:val="00050646"/>
    <w:rsid w:val="000701EF"/>
    <w:rsid w:val="00073E59"/>
    <w:rsid w:val="00076A2B"/>
    <w:rsid w:val="00087D03"/>
    <w:rsid w:val="000A3BB2"/>
    <w:rsid w:val="000C2921"/>
    <w:rsid w:val="000C3604"/>
    <w:rsid w:val="000F6073"/>
    <w:rsid w:val="00100C98"/>
    <w:rsid w:val="001138E4"/>
    <w:rsid w:val="00123EE5"/>
    <w:rsid w:val="001434DF"/>
    <w:rsid w:val="001457A4"/>
    <w:rsid w:val="001963F2"/>
    <w:rsid w:val="001A4262"/>
    <w:rsid w:val="001B0D81"/>
    <w:rsid w:val="001B3A45"/>
    <w:rsid w:val="001D3C06"/>
    <w:rsid w:val="00263E57"/>
    <w:rsid w:val="002655DE"/>
    <w:rsid w:val="00292AE4"/>
    <w:rsid w:val="002956A3"/>
    <w:rsid w:val="002A5DAF"/>
    <w:rsid w:val="002B19B4"/>
    <w:rsid w:val="002B7F59"/>
    <w:rsid w:val="002C3385"/>
    <w:rsid w:val="002C4E89"/>
    <w:rsid w:val="002E7221"/>
    <w:rsid w:val="003006E4"/>
    <w:rsid w:val="003525F6"/>
    <w:rsid w:val="0036177E"/>
    <w:rsid w:val="00367D2F"/>
    <w:rsid w:val="00380A0B"/>
    <w:rsid w:val="003A1418"/>
    <w:rsid w:val="003B574A"/>
    <w:rsid w:val="003B79D0"/>
    <w:rsid w:val="003C3624"/>
    <w:rsid w:val="003E3350"/>
    <w:rsid w:val="00411361"/>
    <w:rsid w:val="00422180"/>
    <w:rsid w:val="0043080E"/>
    <w:rsid w:val="00437F89"/>
    <w:rsid w:val="00455DB8"/>
    <w:rsid w:val="00482FCA"/>
    <w:rsid w:val="0048462C"/>
    <w:rsid w:val="00493FF5"/>
    <w:rsid w:val="004A0DE9"/>
    <w:rsid w:val="004B46AD"/>
    <w:rsid w:val="004B4AC7"/>
    <w:rsid w:val="004D1CFD"/>
    <w:rsid w:val="004E0FEB"/>
    <w:rsid w:val="004E151B"/>
    <w:rsid w:val="004E3E9E"/>
    <w:rsid w:val="00512B0A"/>
    <w:rsid w:val="0052712E"/>
    <w:rsid w:val="005856B7"/>
    <w:rsid w:val="005873D7"/>
    <w:rsid w:val="00594F0F"/>
    <w:rsid w:val="005B090C"/>
    <w:rsid w:val="005D2687"/>
    <w:rsid w:val="005D3A62"/>
    <w:rsid w:val="005D5B0F"/>
    <w:rsid w:val="005F365D"/>
    <w:rsid w:val="00615603"/>
    <w:rsid w:val="00620FAB"/>
    <w:rsid w:val="00623CBF"/>
    <w:rsid w:val="006332E6"/>
    <w:rsid w:val="00633E71"/>
    <w:rsid w:val="00642A7B"/>
    <w:rsid w:val="006C33B8"/>
    <w:rsid w:val="006D3687"/>
    <w:rsid w:val="00714910"/>
    <w:rsid w:val="00732A13"/>
    <w:rsid w:val="007437E8"/>
    <w:rsid w:val="007566E6"/>
    <w:rsid w:val="00795E05"/>
    <w:rsid w:val="007B4331"/>
    <w:rsid w:val="007B6CB2"/>
    <w:rsid w:val="007C3628"/>
    <w:rsid w:val="007C50FB"/>
    <w:rsid w:val="007D5FE5"/>
    <w:rsid w:val="00805947"/>
    <w:rsid w:val="008256ED"/>
    <w:rsid w:val="008344F4"/>
    <w:rsid w:val="00843592"/>
    <w:rsid w:val="008A6618"/>
    <w:rsid w:val="008B45B6"/>
    <w:rsid w:val="008B72BE"/>
    <w:rsid w:val="008C62A5"/>
    <w:rsid w:val="008D6A24"/>
    <w:rsid w:val="008E084C"/>
    <w:rsid w:val="008E26D6"/>
    <w:rsid w:val="00900702"/>
    <w:rsid w:val="00903368"/>
    <w:rsid w:val="00916B9C"/>
    <w:rsid w:val="00920226"/>
    <w:rsid w:val="00933B15"/>
    <w:rsid w:val="00933FAE"/>
    <w:rsid w:val="009403B8"/>
    <w:rsid w:val="00941ED5"/>
    <w:rsid w:val="00954845"/>
    <w:rsid w:val="00956A84"/>
    <w:rsid w:val="0096618B"/>
    <w:rsid w:val="009757A4"/>
    <w:rsid w:val="009B498E"/>
    <w:rsid w:val="009C0A8D"/>
    <w:rsid w:val="009C43C2"/>
    <w:rsid w:val="009C7DBF"/>
    <w:rsid w:val="009D7A73"/>
    <w:rsid w:val="009E4A97"/>
    <w:rsid w:val="009E4E73"/>
    <w:rsid w:val="009F61C9"/>
    <w:rsid w:val="00A02352"/>
    <w:rsid w:val="00A10AFD"/>
    <w:rsid w:val="00A2786A"/>
    <w:rsid w:val="00A34893"/>
    <w:rsid w:val="00A56552"/>
    <w:rsid w:val="00A56DD3"/>
    <w:rsid w:val="00A61EA5"/>
    <w:rsid w:val="00A7047E"/>
    <w:rsid w:val="00A76A92"/>
    <w:rsid w:val="00A93F68"/>
    <w:rsid w:val="00A97BAB"/>
    <w:rsid w:val="00AB5426"/>
    <w:rsid w:val="00AD2623"/>
    <w:rsid w:val="00AD3D2A"/>
    <w:rsid w:val="00B13FD7"/>
    <w:rsid w:val="00B54397"/>
    <w:rsid w:val="00B64514"/>
    <w:rsid w:val="00B74BA9"/>
    <w:rsid w:val="00B75CF0"/>
    <w:rsid w:val="00B76634"/>
    <w:rsid w:val="00B80CCF"/>
    <w:rsid w:val="00B90CEE"/>
    <w:rsid w:val="00BB1D7A"/>
    <w:rsid w:val="00BD02C9"/>
    <w:rsid w:val="00C055CA"/>
    <w:rsid w:val="00C33C1F"/>
    <w:rsid w:val="00C40915"/>
    <w:rsid w:val="00C45EE7"/>
    <w:rsid w:val="00C91D5A"/>
    <w:rsid w:val="00CA3B72"/>
    <w:rsid w:val="00D015BE"/>
    <w:rsid w:val="00D03289"/>
    <w:rsid w:val="00D06013"/>
    <w:rsid w:val="00D07EDA"/>
    <w:rsid w:val="00D140D0"/>
    <w:rsid w:val="00D21172"/>
    <w:rsid w:val="00D236AE"/>
    <w:rsid w:val="00D66A7D"/>
    <w:rsid w:val="00D72A6D"/>
    <w:rsid w:val="00D75724"/>
    <w:rsid w:val="00D77E17"/>
    <w:rsid w:val="00D82BF8"/>
    <w:rsid w:val="00DB0E2F"/>
    <w:rsid w:val="00DB4386"/>
    <w:rsid w:val="00DD52C2"/>
    <w:rsid w:val="00DE1DA9"/>
    <w:rsid w:val="00E024AE"/>
    <w:rsid w:val="00E11BE0"/>
    <w:rsid w:val="00E77F51"/>
    <w:rsid w:val="00E9086D"/>
    <w:rsid w:val="00E90F95"/>
    <w:rsid w:val="00EA2E15"/>
    <w:rsid w:val="00EF7D9C"/>
    <w:rsid w:val="00F11B3D"/>
    <w:rsid w:val="00F2211D"/>
    <w:rsid w:val="00F260EA"/>
    <w:rsid w:val="00F36A6A"/>
    <w:rsid w:val="00F431D3"/>
    <w:rsid w:val="00F432D6"/>
    <w:rsid w:val="00F453CD"/>
    <w:rsid w:val="00F53AB7"/>
    <w:rsid w:val="00F608CD"/>
    <w:rsid w:val="00F7160D"/>
    <w:rsid w:val="00F74876"/>
    <w:rsid w:val="00F7778E"/>
    <w:rsid w:val="00FC2A37"/>
    <w:rsid w:val="00FD3268"/>
    <w:rsid w:val="00FD6E30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C979B"/>
  <w15:docId w15:val="{0F976CBE-9D12-47F5-9A9B-D9B6EA8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6A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A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0D0"/>
  </w:style>
  <w:style w:type="paragraph" w:styleId="Footer">
    <w:name w:val="footer"/>
    <w:basedOn w:val="Normal"/>
    <w:link w:val="FooterChar"/>
    <w:uiPriority w:val="99"/>
    <w:unhideWhenUsed/>
    <w:rsid w:val="00D14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0D0"/>
  </w:style>
  <w:style w:type="paragraph" w:styleId="Revision">
    <w:name w:val="Revision"/>
    <w:hidden/>
    <w:uiPriority w:val="99"/>
    <w:semiHidden/>
    <w:rsid w:val="00F453CD"/>
    <w:pPr>
      <w:spacing w:after="0" w:line="240" w:lineRule="auto"/>
    </w:pPr>
  </w:style>
  <w:style w:type="table" w:styleId="TableGrid">
    <w:name w:val="Table Grid"/>
    <w:basedOn w:val="TableNormal"/>
    <w:uiPriority w:val="59"/>
    <w:rsid w:val="001B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9EDC58C15E54690A816BE6FEA52D2" ma:contentTypeVersion="17" ma:contentTypeDescription="Create a new document." ma:contentTypeScope="" ma:versionID="4f724ae66a4b3022c94f0884818b7e45">
  <xsd:schema xmlns:xsd="http://www.w3.org/2001/XMLSchema" xmlns:xs="http://www.w3.org/2001/XMLSchema" xmlns:p="http://schemas.microsoft.com/office/2006/metadata/properties" xmlns:ns2="3a23a44e-b9b7-43c1-8aa3-e24c12bbb7be" xmlns:ns3="97777203-5cdb-4e9f-8388-daa97a0d17e4" targetNamespace="http://schemas.microsoft.com/office/2006/metadata/properties" ma:root="true" ma:fieldsID="d39e495351c798f76dea4ac5c2900d96" ns2:_="" ns3:_="">
    <xsd:import namespace="3a23a44e-b9b7-43c1-8aa3-e24c12bbb7be"/>
    <xsd:import namespace="97777203-5cdb-4e9f-8388-daa97a0d17e4"/>
    <xsd:element name="properties">
      <xsd:complexType>
        <xsd:sequence>
          <xsd:element name="documentManagement">
            <xsd:complexType>
              <xsd:all>
                <xsd:element ref="ns2:Reviewer" minOccurs="0"/>
                <xsd:element ref="ns2:Destruction_x0020_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a44e-b9b7-43c1-8aa3-e24c12bbb7be" elementFormDefault="qualified">
    <xsd:import namespace="http://schemas.microsoft.com/office/2006/documentManagement/types"/>
    <xsd:import namespace="http://schemas.microsoft.com/office/infopath/2007/PartnerControls"/>
    <xsd:element name="Reviewer" ma:index="4" nillable="true" ma:displayName="Reviewer" ma:list="UserInfo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truction_x0020_Date" ma:index="5" nillable="true" ma:displayName="Destruction Date" ma:description="For removal after 3 year mark" ma:format="DateOnly" ma:internalName="Destruction_x0020_Date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77203-5cdb-4e9f-8388-daa97a0d1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eviewer xmlns="3a23a44e-b9b7-43c1-8aa3-e24c12bbb7be">
      <UserInfo>
        <DisplayName/>
        <AccountId xsi:nil="true"/>
        <AccountType/>
      </UserInfo>
    </Reviewer>
    <Destruction_x0020_Date xmlns="3a23a44e-b9b7-43c1-8aa3-e24c12bbb7be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A892811-6B05-4ECF-A9FE-CDB468D19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a44e-b9b7-43c1-8aa3-e24c12bbb7be"/>
    <ds:schemaRef ds:uri="97777203-5cdb-4e9f-8388-daa97a0d1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3DE77-55D0-45C6-B8ED-AC6E5D58035A}">
  <ds:schemaRefs>
    <ds:schemaRef ds:uri="http://schemas.microsoft.com/office/2006/metadata/properties"/>
    <ds:schemaRef ds:uri="3a23a44e-b9b7-43c1-8aa3-e24c12bbb7be"/>
  </ds:schemaRefs>
</ds:datastoreItem>
</file>

<file path=customXml/itemProps3.xml><?xml version="1.0" encoding="utf-8"?>
<ds:datastoreItem xmlns:ds="http://schemas.openxmlformats.org/officeDocument/2006/customXml" ds:itemID="{5A77E308-85A4-41C9-93CB-C9EC3251C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Kilbourne</dc:creator>
  <cp:keywords/>
  <dc:description/>
  <cp:lastModifiedBy>Nicole Shepherd</cp:lastModifiedBy>
  <cp:revision>2</cp:revision>
  <cp:lastPrinted>2018-02-01T16:56:00Z</cp:lastPrinted>
  <dcterms:created xsi:type="dcterms:W3CDTF">2025-03-28T14:54:00Z</dcterms:created>
  <dcterms:modified xsi:type="dcterms:W3CDTF">2025-03-28T14:54:00Z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0x010100D139EDC58C15E54690A816BE6FEA52D2</vt:lpwstr>
  </property>
  <property fmtid="{D5CDD505-2E9C-101B-9397-08002B2CF9AE}" pid="3" name="Reviewer">
    <vt:lpwstr/>
  </property>
</Properties>
</file>